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185" w:rsidRPr="00DF7856" w:rsidRDefault="00DA5185" w:rsidP="000670D8">
      <w:pPr>
        <w:spacing w:line="276" w:lineRule="auto"/>
        <w:jc w:val="center"/>
        <w:rPr>
          <w:b/>
          <w:sz w:val="28"/>
          <w:szCs w:val="28"/>
        </w:rPr>
      </w:pPr>
      <w:r w:rsidRPr="00DF7856">
        <w:rPr>
          <w:b/>
          <w:sz w:val="28"/>
          <w:szCs w:val="28"/>
        </w:rPr>
        <w:t xml:space="preserve">Resumen de Proyectos </w:t>
      </w:r>
      <w:r w:rsidR="000C052F">
        <w:rPr>
          <w:b/>
          <w:sz w:val="28"/>
          <w:szCs w:val="28"/>
        </w:rPr>
        <w:t>2017</w:t>
      </w:r>
    </w:p>
    <w:p w:rsidR="00DF7856" w:rsidRPr="00DF7856" w:rsidRDefault="00370321" w:rsidP="000670D8">
      <w:pPr>
        <w:spacing w:line="276" w:lineRule="auto"/>
        <w:jc w:val="center"/>
        <w:rPr>
          <w:b/>
          <w:sz w:val="28"/>
          <w:szCs w:val="28"/>
        </w:rPr>
      </w:pPr>
      <w:r>
        <w:rPr>
          <w:b/>
          <w:sz w:val="28"/>
          <w:szCs w:val="28"/>
        </w:rPr>
        <w:t>Dirección Jurídica</w:t>
      </w:r>
    </w:p>
    <w:p w:rsidR="00DA5185" w:rsidRPr="00DF7856" w:rsidRDefault="00DA5185" w:rsidP="000670D8">
      <w:pPr>
        <w:spacing w:line="276"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3087"/>
        <w:gridCol w:w="32"/>
        <w:gridCol w:w="3118"/>
      </w:tblGrid>
      <w:tr w:rsidR="00DA5185" w:rsidRPr="00793CA9" w:rsidTr="004561B8">
        <w:tc>
          <w:tcPr>
            <w:tcW w:w="3087" w:type="dxa"/>
            <w:shd w:val="clear" w:color="auto" w:fill="C0C0C0"/>
          </w:tcPr>
          <w:p w:rsidR="00DA5185" w:rsidRPr="00793CA9" w:rsidRDefault="00DA5185" w:rsidP="000670D8">
            <w:pPr>
              <w:pStyle w:val="Ttulo1"/>
              <w:spacing w:line="276" w:lineRule="auto"/>
              <w:jc w:val="center"/>
              <w:rPr>
                <w:rFonts w:ascii="Arial" w:hAnsi="Arial" w:cs="Arial"/>
                <w:b/>
                <w:i w:val="0"/>
                <w:sz w:val="28"/>
                <w:szCs w:val="28"/>
              </w:rPr>
            </w:pPr>
            <w:r w:rsidRPr="00793CA9">
              <w:rPr>
                <w:rFonts w:ascii="Arial" w:hAnsi="Arial" w:cs="Arial"/>
                <w:b/>
                <w:i w:val="0"/>
                <w:sz w:val="28"/>
                <w:szCs w:val="28"/>
              </w:rPr>
              <w:t>Nombre del Proyecto</w:t>
            </w:r>
          </w:p>
        </w:tc>
        <w:tc>
          <w:tcPr>
            <w:tcW w:w="3119" w:type="dxa"/>
            <w:gridSpan w:val="2"/>
            <w:shd w:val="clear" w:color="auto" w:fill="C0C0C0"/>
          </w:tcPr>
          <w:p w:rsidR="00DA5185" w:rsidRPr="00793CA9" w:rsidRDefault="00DA5185" w:rsidP="000670D8">
            <w:pPr>
              <w:pStyle w:val="Ttulo1"/>
              <w:spacing w:line="276" w:lineRule="auto"/>
              <w:jc w:val="center"/>
              <w:rPr>
                <w:rFonts w:ascii="Arial" w:hAnsi="Arial" w:cs="Arial"/>
                <w:b/>
                <w:i w:val="0"/>
                <w:sz w:val="28"/>
                <w:szCs w:val="28"/>
              </w:rPr>
            </w:pPr>
            <w:r w:rsidRPr="00793CA9">
              <w:rPr>
                <w:rFonts w:ascii="Arial" w:hAnsi="Arial" w:cs="Arial"/>
                <w:b/>
                <w:i w:val="0"/>
                <w:sz w:val="28"/>
                <w:szCs w:val="28"/>
              </w:rPr>
              <w:t>Objetivo</w:t>
            </w:r>
          </w:p>
        </w:tc>
        <w:tc>
          <w:tcPr>
            <w:tcW w:w="3118" w:type="dxa"/>
            <w:shd w:val="clear" w:color="auto" w:fill="C0C0C0"/>
          </w:tcPr>
          <w:p w:rsidR="00DA5185" w:rsidRPr="00793CA9" w:rsidRDefault="00DA5185" w:rsidP="000670D8">
            <w:pPr>
              <w:pStyle w:val="Ttulo1"/>
              <w:spacing w:line="276" w:lineRule="auto"/>
              <w:jc w:val="center"/>
              <w:rPr>
                <w:rFonts w:ascii="Arial" w:hAnsi="Arial" w:cs="Arial"/>
                <w:b/>
                <w:i w:val="0"/>
                <w:sz w:val="28"/>
                <w:szCs w:val="28"/>
              </w:rPr>
            </w:pPr>
            <w:r w:rsidRPr="00793CA9">
              <w:rPr>
                <w:rFonts w:ascii="Arial" w:hAnsi="Arial" w:cs="Arial"/>
                <w:b/>
                <w:i w:val="0"/>
                <w:sz w:val="28"/>
                <w:szCs w:val="28"/>
              </w:rPr>
              <w:t>Logros del proyecto</w:t>
            </w:r>
          </w:p>
        </w:tc>
      </w:tr>
      <w:tr w:rsidR="00494A88" w:rsidRPr="000E0370" w:rsidTr="004561B8">
        <w:tc>
          <w:tcPr>
            <w:tcW w:w="3087" w:type="dxa"/>
          </w:tcPr>
          <w:p w:rsidR="00494A88" w:rsidRPr="000E0370" w:rsidRDefault="00494A88" w:rsidP="000670D8">
            <w:pPr>
              <w:suppressAutoHyphens/>
              <w:spacing w:line="276" w:lineRule="auto"/>
              <w:jc w:val="both"/>
              <w:rPr>
                <w:rFonts w:ascii="Arial" w:hAnsi="Arial" w:cs="Arial"/>
                <w:b/>
                <w:sz w:val="24"/>
                <w:szCs w:val="24"/>
              </w:rPr>
            </w:pPr>
            <w:r w:rsidRPr="000E0370">
              <w:rPr>
                <w:rFonts w:ascii="Arial" w:hAnsi="Arial" w:cs="Arial"/>
                <w:b/>
                <w:sz w:val="24"/>
                <w:szCs w:val="24"/>
              </w:rPr>
              <w:t xml:space="preserve">Asesoría jurídica y de Contratación Administrativa </w:t>
            </w:r>
            <w:r w:rsidR="008312C7" w:rsidRPr="000E0370">
              <w:rPr>
                <w:rFonts w:ascii="Arial" w:hAnsi="Arial" w:cs="Arial"/>
                <w:b/>
                <w:sz w:val="24"/>
                <w:szCs w:val="24"/>
              </w:rPr>
              <w:t>sobre las implicaciones y mejoras a realizar por las distintas reformas legales</w:t>
            </w:r>
            <w:r w:rsidRPr="000E0370">
              <w:rPr>
                <w:rFonts w:ascii="Arial" w:hAnsi="Arial" w:cs="Arial"/>
                <w:b/>
                <w:sz w:val="24"/>
                <w:szCs w:val="24"/>
              </w:rPr>
              <w:t>.</w:t>
            </w:r>
          </w:p>
        </w:tc>
        <w:tc>
          <w:tcPr>
            <w:tcW w:w="3087" w:type="dxa"/>
          </w:tcPr>
          <w:p w:rsidR="00494A88" w:rsidRPr="000E0370" w:rsidRDefault="00494A88" w:rsidP="000670D8">
            <w:pPr>
              <w:suppressAutoHyphens/>
              <w:spacing w:line="276" w:lineRule="auto"/>
              <w:jc w:val="both"/>
              <w:rPr>
                <w:rFonts w:ascii="Arial" w:hAnsi="Arial" w:cs="Arial"/>
                <w:sz w:val="24"/>
                <w:szCs w:val="24"/>
              </w:rPr>
            </w:pPr>
            <w:r w:rsidRPr="000E0370">
              <w:rPr>
                <w:rFonts w:ascii="Arial" w:hAnsi="Arial" w:cs="Arial"/>
                <w:sz w:val="24"/>
                <w:szCs w:val="24"/>
              </w:rPr>
              <w:t xml:space="preserve">Determinar por medio de Asesoría Legal </w:t>
            </w:r>
            <w:r w:rsidR="008312C7" w:rsidRPr="000E0370">
              <w:rPr>
                <w:rFonts w:ascii="Arial" w:hAnsi="Arial" w:cs="Arial"/>
                <w:sz w:val="24"/>
                <w:szCs w:val="24"/>
              </w:rPr>
              <w:t>las implicaciones que generan las reformas legales en Licitaciones y otros procesos de contratación Administrativa</w:t>
            </w:r>
            <w:r w:rsidRPr="000E0370">
              <w:rPr>
                <w:rFonts w:ascii="Arial" w:hAnsi="Arial" w:cs="Arial"/>
                <w:sz w:val="24"/>
                <w:szCs w:val="24"/>
              </w:rPr>
              <w:t>.</w:t>
            </w:r>
          </w:p>
          <w:p w:rsidR="00494A88" w:rsidRPr="000E0370" w:rsidRDefault="00494A88" w:rsidP="000670D8">
            <w:pPr>
              <w:suppressAutoHyphens/>
              <w:spacing w:line="276" w:lineRule="auto"/>
              <w:jc w:val="both"/>
              <w:rPr>
                <w:rFonts w:ascii="Arial" w:hAnsi="Arial" w:cs="Arial"/>
                <w:sz w:val="24"/>
                <w:szCs w:val="24"/>
              </w:rPr>
            </w:pPr>
          </w:p>
        </w:tc>
        <w:tc>
          <w:tcPr>
            <w:tcW w:w="3150" w:type="dxa"/>
            <w:gridSpan w:val="2"/>
          </w:tcPr>
          <w:p w:rsidR="00494A88" w:rsidRPr="000E0370" w:rsidRDefault="0059491D" w:rsidP="000670D8">
            <w:pPr>
              <w:suppressAutoHyphens/>
              <w:spacing w:line="276" w:lineRule="auto"/>
              <w:jc w:val="both"/>
              <w:rPr>
                <w:rFonts w:ascii="Arial" w:hAnsi="Arial" w:cs="Arial"/>
                <w:sz w:val="24"/>
                <w:szCs w:val="24"/>
              </w:rPr>
            </w:pPr>
            <w:r w:rsidRPr="000E0370">
              <w:rPr>
                <w:rFonts w:ascii="Arial" w:hAnsi="Arial" w:cs="Arial"/>
                <w:sz w:val="24"/>
                <w:szCs w:val="24"/>
              </w:rPr>
              <w:t>Trámite de licitaciones y otros procesos para contar con la estructura física necesaria que permitió ejecutar la entrada en vigencia de la Reforma Procesal Laboral.</w:t>
            </w:r>
          </w:p>
        </w:tc>
      </w:tr>
      <w:tr w:rsidR="00B45986" w:rsidRPr="000E0370" w:rsidTr="004561B8">
        <w:tc>
          <w:tcPr>
            <w:tcW w:w="3087" w:type="dxa"/>
          </w:tcPr>
          <w:p w:rsidR="00B45986" w:rsidRPr="000E0370" w:rsidRDefault="00B45986" w:rsidP="000670D8">
            <w:pPr>
              <w:suppressAutoHyphens/>
              <w:spacing w:line="276" w:lineRule="auto"/>
              <w:jc w:val="both"/>
              <w:rPr>
                <w:rFonts w:ascii="Arial" w:hAnsi="Arial" w:cs="Arial"/>
                <w:b/>
                <w:sz w:val="24"/>
                <w:szCs w:val="24"/>
              </w:rPr>
            </w:pPr>
            <w:r w:rsidRPr="000E0370">
              <w:rPr>
                <w:rFonts w:ascii="Arial" w:hAnsi="Arial" w:cs="Arial"/>
                <w:b/>
                <w:sz w:val="24"/>
                <w:szCs w:val="24"/>
              </w:rPr>
              <w:t>Asesoría jurídica y de Contratación Administrativa, en revisión de Licitaciones Públicas y Privadas, Contrataciones Directas, así como los distintos recursos que se produzcan. Revisión de contratos y Convenios.</w:t>
            </w:r>
          </w:p>
        </w:tc>
        <w:tc>
          <w:tcPr>
            <w:tcW w:w="3087" w:type="dxa"/>
          </w:tcPr>
          <w:p w:rsidR="00B45986" w:rsidRPr="000E0370" w:rsidRDefault="00B45986" w:rsidP="000670D8">
            <w:pPr>
              <w:suppressAutoHyphens/>
              <w:spacing w:line="276" w:lineRule="auto"/>
              <w:jc w:val="both"/>
              <w:rPr>
                <w:rFonts w:ascii="Arial" w:hAnsi="Arial" w:cs="Arial"/>
                <w:sz w:val="24"/>
                <w:szCs w:val="24"/>
              </w:rPr>
            </w:pPr>
            <w:r w:rsidRPr="000E0370">
              <w:rPr>
                <w:rFonts w:ascii="Arial" w:hAnsi="Arial" w:cs="Arial"/>
                <w:sz w:val="24"/>
                <w:szCs w:val="24"/>
              </w:rPr>
              <w:t>Analizar y asesorar en Materia de contratación Administrativa al Poder Judicial.</w:t>
            </w:r>
          </w:p>
        </w:tc>
        <w:tc>
          <w:tcPr>
            <w:tcW w:w="3150" w:type="dxa"/>
            <w:gridSpan w:val="2"/>
          </w:tcPr>
          <w:p w:rsidR="00B45986" w:rsidRPr="000E0370" w:rsidRDefault="00B45986" w:rsidP="000670D8">
            <w:pPr>
              <w:suppressAutoHyphens/>
              <w:spacing w:line="276" w:lineRule="auto"/>
              <w:jc w:val="both"/>
              <w:rPr>
                <w:rFonts w:ascii="Arial" w:hAnsi="Arial" w:cs="Arial"/>
                <w:sz w:val="24"/>
                <w:szCs w:val="24"/>
              </w:rPr>
            </w:pPr>
            <w:r w:rsidRPr="000E0370">
              <w:rPr>
                <w:rFonts w:ascii="Arial" w:hAnsi="Arial" w:cs="Arial"/>
                <w:sz w:val="24"/>
                <w:szCs w:val="24"/>
              </w:rPr>
              <w:t>Trámite de las contrataciones de acuerdo a las necesidades de la Institución.</w:t>
            </w:r>
          </w:p>
        </w:tc>
      </w:tr>
      <w:tr w:rsidR="00494A88" w:rsidRPr="000E0370" w:rsidTr="004561B8">
        <w:tc>
          <w:tcPr>
            <w:tcW w:w="3087" w:type="dxa"/>
          </w:tcPr>
          <w:p w:rsidR="00494A88" w:rsidRPr="000E0370" w:rsidRDefault="0098449D" w:rsidP="000670D8">
            <w:pPr>
              <w:suppressAutoHyphens/>
              <w:spacing w:line="276" w:lineRule="auto"/>
              <w:jc w:val="both"/>
              <w:rPr>
                <w:rFonts w:ascii="Arial" w:hAnsi="Arial" w:cs="Arial"/>
                <w:b/>
                <w:sz w:val="24"/>
                <w:szCs w:val="24"/>
                <w:highlight w:val="yellow"/>
              </w:rPr>
            </w:pPr>
            <w:r w:rsidRPr="000E0370">
              <w:rPr>
                <w:rFonts w:ascii="Arial" w:hAnsi="Arial" w:cs="Arial"/>
                <w:b/>
                <w:color w:val="000000"/>
                <w:sz w:val="24"/>
                <w:szCs w:val="24"/>
                <w:lang w:eastAsia="es-CR"/>
              </w:rPr>
              <w:t>Criterio jurídico de la consulta planteada por el Departamento de Proveeduría, respecto a los requerimientos previos a cumplir en los procedimientos que se tramitan al amparo del artículo 131 del Reglamento a la Ley de Contratación Administrativa.</w:t>
            </w:r>
          </w:p>
        </w:tc>
        <w:tc>
          <w:tcPr>
            <w:tcW w:w="3087" w:type="dxa"/>
          </w:tcPr>
          <w:p w:rsidR="00494A88" w:rsidRPr="000E0370" w:rsidRDefault="004A2CDD" w:rsidP="000670D8">
            <w:pPr>
              <w:suppressAutoHyphens/>
              <w:spacing w:line="276" w:lineRule="auto"/>
              <w:jc w:val="both"/>
              <w:rPr>
                <w:rFonts w:ascii="Arial" w:hAnsi="Arial" w:cs="Arial"/>
                <w:sz w:val="24"/>
                <w:szCs w:val="24"/>
                <w:highlight w:val="yellow"/>
              </w:rPr>
            </w:pPr>
            <w:r w:rsidRPr="000E0370">
              <w:rPr>
                <w:rFonts w:ascii="Arial" w:hAnsi="Arial" w:cs="Arial"/>
                <w:sz w:val="24"/>
                <w:szCs w:val="24"/>
              </w:rPr>
              <w:t>Análisis desde una perspectiva legal el mencionado artículo sobre los alcances y limites del mismo.</w:t>
            </w:r>
          </w:p>
        </w:tc>
        <w:tc>
          <w:tcPr>
            <w:tcW w:w="3150" w:type="dxa"/>
            <w:gridSpan w:val="2"/>
          </w:tcPr>
          <w:p w:rsidR="00494A88" w:rsidRPr="000E0370" w:rsidRDefault="004A2CDD" w:rsidP="000670D8">
            <w:pPr>
              <w:suppressAutoHyphens/>
              <w:spacing w:line="276" w:lineRule="auto"/>
              <w:jc w:val="both"/>
              <w:rPr>
                <w:rFonts w:ascii="Arial" w:hAnsi="Arial" w:cs="Arial"/>
                <w:sz w:val="24"/>
                <w:szCs w:val="24"/>
                <w:highlight w:val="yellow"/>
              </w:rPr>
            </w:pPr>
            <w:r w:rsidRPr="000E0370">
              <w:rPr>
                <w:rFonts w:ascii="Arial" w:hAnsi="Arial" w:cs="Arial"/>
                <w:sz w:val="24"/>
                <w:szCs w:val="24"/>
              </w:rPr>
              <w:t>Criterio Jurídico donde se señalan los alcances de la norma estudiada.</w:t>
            </w:r>
          </w:p>
        </w:tc>
      </w:tr>
      <w:tr w:rsidR="00494A88" w:rsidRPr="000E0370" w:rsidTr="004561B8">
        <w:tc>
          <w:tcPr>
            <w:tcW w:w="3087" w:type="dxa"/>
          </w:tcPr>
          <w:p w:rsidR="00494A88" w:rsidRPr="000E0370" w:rsidRDefault="009B61E4" w:rsidP="000670D8">
            <w:pPr>
              <w:suppressAutoHyphens/>
              <w:spacing w:line="276" w:lineRule="auto"/>
              <w:jc w:val="both"/>
              <w:rPr>
                <w:rFonts w:ascii="Arial" w:hAnsi="Arial" w:cs="Arial"/>
                <w:b/>
                <w:sz w:val="24"/>
                <w:szCs w:val="24"/>
                <w:highlight w:val="yellow"/>
              </w:rPr>
            </w:pPr>
            <w:r w:rsidRPr="000E0370">
              <w:rPr>
                <w:rFonts w:ascii="Arial" w:hAnsi="Arial" w:cs="Arial"/>
                <w:b/>
                <w:color w:val="000000"/>
                <w:sz w:val="24"/>
                <w:szCs w:val="24"/>
                <w:lang w:eastAsia="es-CR"/>
              </w:rPr>
              <w:t>Contrato para el servicio de auditoría externa para que evalúen los Estados Financieros de la Contabilidad del Poder Judicial.</w:t>
            </w:r>
          </w:p>
        </w:tc>
        <w:tc>
          <w:tcPr>
            <w:tcW w:w="3087" w:type="dxa"/>
          </w:tcPr>
          <w:p w:rsidR="00494A88" w:rsidRPr="000E0370" w:rsidRDefault="00F6599B"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Elaborar y presentar contrato a fin de contratar auditoria que evalúe los estados financieros del Poder Judicial.</w:t>
            </w:r>
          </w:p>
        </w:tc>
        <w:tc>
          <w:tcPr>
            <w:tcW w:w="3150" w:type="dxa"/>
            <w:gridSpan w:val="2"/>
          </w:tcPr>
          <w:p w:rsidR="00494A88" w:rsidRPr="000E0370" w:rsidRDefault="00F6599B"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Contrato redactado y enviado al órgano encargado.</w:t>
            </w:r>
          </w:p>
        </w:tc>
      </w:tr>
      <w:tr w:rsidR="00906899" w:rsidRPr="000E0370" w:rsidTr="004561B8">
        <w:tc>
          <w:tcPr>
            <w:tcW w:w="3087" w:type="dxa"/>
          </w:tcPr>
          <w:p w:rsidR="00906899" w:rsidRPr="000E0370" w:rsidRDefault="00906899"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Contratación Directa por Excepción</w:t>
            </w:r>
            <w:r w:rsidR="000D784F" w:rsidRPr="000E0370">
              <w:rPr>
                <w:rFonts w:ascii="Arial" w:hAnsi="Arial" w:cs="Arial"/>
                <w:b/>
                <w:color w:val="000000"/>
                <w:sz w:val="24"/>
                <w:szCs w:val="24"/>
                <w:lang w:eastAsia="es-CR"/>
              </w:rPr>
              <w:t xml:space="preserve"> para situar </w:t>
            </w:r>
            <w:r w:rsidR="00064D0B" w:rsidRPr="000E0370">
              <w:rPr>
                <w:rFonts w:ascii="Arial" w:hAnsi="Arial" w:cs="Arial"/>
                <w:b/>
                <w:color w:val="000000"/>
                <w:sz w:val="24"/>
                <w:szCs w:val="24"/>
                <w:lang w:eastAsia="es-CR"/>
              </w:rPr>
              <w:t xml:space="preserve">distintos </w:t>
            </w:r>
            <w:r w:rsidR="000D784F" w:rsidRPr="000E0370">
              <w:rPr>
                <w:rFonts w:ascii="Arial" w:hAnsi="Arial" w:cs="Arial"/>
                <w:b/>
                <w:color w:val="000000"/>
                <w:sz w:val="24"/>
                <w:szCs w:val="24"/>
                <w:lang w:eastAsia="es-CR"/>
              </w:rPr>
              <w:t>local</w:t>
            </w:r>
            <w:r w:rsidR="00064D0B" w:rsidRPr="000E0370">
              <w:rPr>
                <w:rFonts w:ascii="Arial" w:hAnsi="Arial" w:cs="Arial"/>
                <w:b/>
                <w:color w:val="000000"/>
                <w:sz w:val="24"/>
                <w:szCs w:val="24"/>
                <w:lang w:eastAsia="es-CR"/>
              </w:rPr>
              <w:t>es</w:t>
            </w:r>
            <w:r w:rsidR="000D784F" w:rsidRPr="000E0370">
              <w:rPr>
                <w:rFonts w:ascii="Arial" w:hAnsi="Arial" w:cs="Arial"/>
                <w:b/>
                <w:color w:val="000000"/>
                <w:sz w:val="24"/>
                <w:szCs w:val="24"/>
                <w:lang w:eastAsia="es-CR"/>
              </w:rPr>
              <w:t xml:space="preserve"> </w:t>
            </w:r>
            <w:r w:rsidR="00064D0B" w:rsidRPr="000E0370">
              <w:rPr>
                <w:rFonts w:ascii="Arial" w:hAnsi="Arial" w:cs="Arial"/>
                <w:b/>
                <w:color w:val="000000"/>
                <w:sz w:val="24"/>
                <w:szCs w:val="24"/>
                <w:lang w:eastAsia="es-CR"/>
              </w:rPr>
              <w:t>para albergar despachos judiciales</w:t>
            </w:r>
            <w:r w:rsidR="000D784F" w:rsidRPr="000E0370">
              <w:rPr>
                <w:rFonts w:ascii="Arial" w:hAnsi="Arial" w:cs="Arial"/>
                <w:b/>
                <w:color w:val="000000"/>
                <w:sz w:val="24"/>
                <w:szCs w:val="24"/>
                <w:lang w:eastAsia="es-CR"/>
              </w:rPr>
              <w:t>.</w:t>
            </w:r>
          </w:p>
        </w:tc>
        <w:tc>
          <w:tcPr>
            <w:tcW w:w="3087" w:type="dxa"/>
          </w:tcPr>
          <w:p w:rsidR="00906899" w:rsidRPr="000E0370" w:rsidRDefault="000D784F"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Asesorar de manera correcta</w:t>
            </w:r>
            <w:r w:rsidR="00257F75" w:rsidRPr="000E0370">
              <w:rPr>
                <w:rFonts w:ascii="Arial" w:hAnsi="Arial" w:cs="Arial"/>
                <w:color w:val="000000"/>
                <w:sz w:val="24"/>
                <w:szCs w:val="24"/>
                <w:lang w:eastAsia="es-CR"/>
              </w:rPr>
              <w:t xml:space="preserve"> y realizar los trámites correspondientes para</w:t>
            </w:r>
            <w:r w:rsidRPr="000E0370">
              <w:rPr>
                <w:rFonts w:ascii="Arial" w:hAnsi="Arial" w:cs="Arial"/>
                <w:color w:val="000000"/>
                <w:sz w:val="24"/>
                <w:szCs w:val="24"/>
                <w:lang w:eastAsia="es-CR"/>
              </w:rPr>
              <w:t xml:space="preserve"> proceder </w:t>
            </w:r>
            <w:r w:rsidR="00257F75" w:rsidRPr="000E0370">
              <w:rPr>
                <w:rFonts w:ascii="Arial" w:hAnsi="Arial" w:cs="Arial"/>
                <w:color w:val="000000"/>
                <w:sz w:val="24"/>
                <w:szCs w:val="24"/>
                <w:lang w:eastAsia="es-CR"/>
              </w:rPr>
              <w:t>con</w:t>
            </w:r>
            <w:r w:rsidRPr="000E0370">
              <w:rPr>
                <w:rFonts w:ascii="Arial" w:hAnsi="Arial" w:cs="Arial"/>
                <w:color w:val="000000"/>
                <w:sz w:val="24"/>
                <w:szCs w:val="24"/>
                <w:lang w:eastAsia="es-CR"/>
              </w:rPr>
              <w:t xml:space="preserve"> el </w:t>
            </w:r>
            <w:r w:rsidR="00906899" w:rsidRPr="000E0370">
              <w:rPr>
                <w:rFonts w:ascii="Arial" w:hAnsi="Arial" w:cs="Arial"/>
                <w:color w:val="000000"/>
                <w:sz w:val="24"/>
                <w:szCs w:val="24"/>
                <w:lang w:eastAsia="es-CR"/>
              </w:rPr>
              <w:t>Alquiler de local</w:t>
            </w:r>
            <w:r w:rsidR="00064D0B" w:rsidRPr="000E0370">
              <w:rPr>
                <w:rFonts w:ascii="Arial" w:hAnsi="Arial" w:cs="Arial"/>
                <w:color w:val="000000"/>
                <w:sz w:val="24"/>
                <w:szCs w:val="24"/>
                <w:lang w:eastAsia="es-CR"/>
              </w:rPr>
              <w:t>es</w:t>
            </w:r>
            <w:r w:rsidR="00906899" w:rsidRPr="000E0370">
              <w:rPr>
                <w:rFonts w:ascii="Arial" w:hAnsi="Arial" w:cs="Arial"/>
                <w:color w:val="000000"/>
                <w:sz w:val="24"/>
                <w:szCs w:val="24"/>
                <w:lang w:eastAsia="es-CR"/>
              </w:rPr>
              <w:t xml:space="preserve"> para albergar</w:t>
            </w:r>
            <w:r w:rsidR="00591F17" w:rsidRPr="000E0370">
              <w:rPr>
                <w:rFonts w:ascii="Arial" w:hAnsi="Arial" w:cs="Arial"/>
                <w:color w:val="000000"/>
                <w:sz w:val="24"/>
                <w:szCs w:val="24"/>
                <w:lang w:eastAsia="es-CR"/>
              </w:rPr>
              <w:t xml:space="preserve"> Juzgados</w:t>
            </w:r>
            <w:r w:rsidR="00906899" w:rsidRPr="000E0370">
              <w:rPr>
                <w:rFonts w:ascii="Arial" w:hAnsi="Arial" w:cs="Arial"/>
                <w:color w:val="000000"/>
                <w:sz w:val="24"/>
                <w:szCs w:val="24"/>
                <w:lang w:eastAsia="es-CR"/>
              </w:rPr>
              <w:t xml:space="preserve">  Laboral</w:t>
            </w:r>
            <w:r w:rsidR="00064D0B" w:rsidRPr="000E0370">
              <w:rPr>
                <w:rFonts w:ascii="Arial" w:hAnsi="Arial" w:cs="Arial"/>
                <w:color w:val="000000"/>
                <w:sz w:val="24"/>
                <w:szCs w:val="24"/>
                <w:lang w:eastAsia="es-CR"/>
              </w:rPr>
              <w:t>es, as</w:t>
            </w:r>
            <w:r w:rsidR="00591F17" w:rsidRPr="000E0370">
              <w:rPr>
                <w:rFonts w:ascii="Arial" w:hAnsi="Arial" w:cs="Arial"/>
                <w:color w:val="000000"/>
                <w:sz w:val="24"/>
                <w:szCs w:val="24"/>
                <w:lang w:eastAsia="es-CR"/>
              </w:rPr>
              <w:t xml:space="preserve">í como las oficinas de la Defensa Pública </w:t>
            </w:r>
            <w:r w:rsidR="00906899" w:rsidRPr="000E0370">
              <w:rPr>
                <w:rFonts w:ascii="Arial" w:hAnsi="Arial" w:cs="Arial"/>
                <w:color w:val="000000"/>
                <w:sz w:val="24"/>
                <w:szCs w:val="24"/>
                <w:lang w:eastAsia="es-CR"/>
              </w:rPr>
              <w:t>para Asuntos Laborales</w:t>
            </w:r>
            <w:r w:rsidR="00591F17" w:rsidRPr="000E0370">
              <w:rPr>
                <w:rFonts w:ascii="Arial" w:hAnsi="Arial" w:cs="Arial"/>
                <w:color w:val="000000"/>
                <w:sz w:val="24"/>
                <w:szCs w:val="24"/>
                <w:lang w:eastAsia="es-CR"/>
              </w:rPr>
              <w:t>, para la entrada en funcionamiento de la Reforma Procesal Laboral</w:t>
            </w:r>
            <w:r w:rsidRPr="000E0370">
              <w:rPr>
                <w:rFonts w:ascii="Arial" w:hAnsi="Arial" w:cs="Arial"/>
                <w:color w:val="000000"/>
                <w:sz w:val="24"/>
                <w:szCs w:val="24"/>
                <w:lang w:eastAsia="es-CR"/>
              </w:rPr>
              <w:t>.</w:t>
            </w:r>
          </w:p>
        </w:tc>
        <w:tc>
          <w:tcPr>
            <w:tcW w:w="3150" w:type="dxa"/>
            <w:gridSpan w:val="2"/>
          </w:tcPr>
          <w:p w:rsidR="00906899" w:rsidRPr="000E0370" w:rsidRDefault="00257F75"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Contrato</w:t>
            </w:r>
            <w:r w:rsidR="00591F17" w:rsidRPr="000E0370">
              <w:rPr>
                <w:rFonts w:ascii="Arial" w:hAnsi="Arial" w:cs="Arial"/>
                <w:color w:val="000000"/>
                <w:sz w:val="24"/>
                <w:szCs w:val="24"/>
                <w:lang w:eastAsia="es-CR"/>
              </w:rPr>
              <w:t>s</w:t>
            </w:r>
            <w:r w:rsidRPr="000E0370">
              <w:rPr>
                <w:rFonts w:ascii="Arial" w:hAnsi="Arial" w:cs="Arial"/>
                <w:color w:val="000000"/>
                <w:sz w:val="24"/>
                <w:szCs w:val="24"/>
                <w:lang w:eastAsia="es-CR"/>
              </w:rPr>
              <w:t xml:space="preserve"> firmado</w:t>
            </w:r>
            <w:r w:rsidR="00591F17" w:rsidRPr="000E0370">
              <w:rPr>
                <w:rFonts w:ascii="Arial" w:hAnsi="Arial" w:cs="Arial"/>
                <w:color w:val="000000"/>
                <w:sz w:val="24"/>
                <w:szCs w:val="24"/>
                <w:lang w:eastAsia="es-CR"/>
              </w:rPr>
              <w:t>s</w:t>
            </w:r>
            <w:r w:rsidRPr="000E0370">
              <w:rPr>
                <w:rFonts w:ascii="Arial" w:hAnsi="Arial" w:cs="Arial"/>
                <w:color w:val="000000"/>
                <w:sz w:val="24"/>
                <w:szCs w:val="24"/>
                <w:lang w:eastAsia="es-CR"/>
              </w:rPr>
              <w:t xml:space="preserve"> </w:t>
            </w:r>
            <w:r w:rsidR="00F272C8" w:rsidRPr="000E0370">
              <w:rPr>
                <w:rFonts w:ascii="Arial" w:hAnsi="Arial" w:cs="Arial"/>
                <w:color w:val="000000"/>
                <w:sz w:val="24"/>
                <w:szCs w:val="24"/>
                <w:lang w:eastAsia="es-CR"/>
              </w:rPr>
              <w:t xml:space="preserve">de los locales en: Heredia, Cartago (Juzgado Civil, Juzgado Laboral y Defensa Pública para Asuntos Laborales), Turrialba, I Circuito Judicial de Alajuela y San Ramón, </w:t>
            </w:r>
            <w:r w:rsidRPr="000E0370">
              <w:rPr>
                <w:rFonts w:ascii="Arial" w:hAnsi="Arial" w:cs="Arial"/>
                <w:color w:val="000000"/>
                <w:sz w:val="24"/>
                <w:szCs w:val="24"/>
                <w:lang w:eastAsia="es-CR"/>
              </w:rPr>
              <w:t>a espera del cumplimiento del plazo pactado para la entrega de</w:t>
            </w:r>
            <w:r w:rsidR="00591F17" w:rsidRPr="000E0370">
              <w:rPr>
                <w:rFonts w:ascii="Arial" w:hAnsi="Arial" w:cs="Arial"/>
                <w:color w:val="000000"/>
                <w:sz w:val="24"/>
                <w:szCs w:val="24"/>
                <w:lang w:eastAsia="es-CR"/>
              </w:rPr>
              <w:t xml:space="preserve"> </w:t>
            </w:r>
            <w:r w:rsidRPr="000E0370">
              <w:rPr>
                <w:rFonts w:ascii="Arial" w:hAnsi="Arial" w:cs="Arial"/>
                <w:color w:val="000000"/>
                <w:sz w:val="24"/>
                <w:szCs w:val="24"/>
                <w:lang w:eastAsia="es-CR"/>
              </w:rPr>
              <w:t>l</w:t>
            </w:r>
            <w:r w:rsidR="00591F17" w:rsidRPr="000E0370">
              <w:rPr>
                <w:rFonts w:ascii="Arial" w:hAnsi="Arial" w:cs="Arial"/>
                <w:color w:val="000000"/>
                <w:sz w:val="24"/>
                <w:szCs w:val="24"/>
                <w:lang w:eastAsia="es-CR"/>
              </w:rPr>
              <w:t>os</w:t>
            </w:r>
            <w:r w:rsidRPr="000E0370">
              <w:rPr>
                <w:rFonts w:ascii="Arial" w:hAnsi="Arial" w:cs="Arial"/>
                <w:color w:val="000000"/>
                <w:sz w:val="24"/>
                <w:szCs w:val="24"/>
                <w:lang w:eastAsia="es-CR"/>
              </w:rPr>
              <w:t xml:space="preserve"> local</w:t>
            </w:r>
            <w:r w:rsidR="00591F17" w:rsidRPr="000E0370">
              <w:rPr>
                <w:rFonts w:ascii="Arial" w:hAnsi="Arial" w:cs="Arial"/>
                <w:color w:val="000000"/>
                <w:sz w:val="24"/>
                <w:szCs w:val="24"/>
                <w:lang w:eastAsia="es-CR"/>
              </w:rPr>
              <w:t xml:space="preserve">es. </w:t>
            </w:r>
          </w:p>
        </w:tc>
      </w:tr>
      <w:tr w:rsidR="00906899" w:rsidRPr="000E0370" w:rsidTr="004561B8">
        <w:tc>
          <w:tcPr>
            <w:tcW w:w="3087" w:type="dxa"/>
          </w:tcPr>
          <w:p w:rsidR="00906899" w:rsidRPr="000E0370" w:rsidRDefault="004E30EF" w:rsidP="000670D8">
            <w:pPr>
              <w:suppressAutoHyphens/>
              <w:spacing w:line="276" w:lineRule="auto"/>
              <w:jc w:val="both"/>
              <w:rPr>
                <w:rFonts w:ascii="Arial" w:hAnsi="Arial" w:cs="Arial"/>
                <w:b/>
                <w:sz w:val="24"/>
                <w:szCs w:val="24"/>
                <w:highlight w:val="yellow"/>
              </w:rPr>
            </w:pPr>
            <w:r w:rsidRPr="000E0370">
              <w:rPr>
                <w:rFonts w:ascii="Arial" w:hAnsi="Arial" w:cs="Arial"/>
                <w:b/>
                <w:color w:val="000000"/>
                <w:sz w:val="24"/>
                <w:szCs w:val="24"/>
                <w:lang w:eastAsia="es-CR"/>
              </w:rPr>
              <w:t>Traslado de bienes donados por el Instituto Costarricense sobre Drogas (I.C.D.), para uso de la Sección de Patología Forense.</w:t>
            </w:r>
          </w:p>
        </w:tc>
        <w:tc>
          <w:tcPr>
            <w:tcW w:w="3087" w:type="dxa"/>
          </w:tcPr>
          <w:p w:rsidR="00906899" w:rsidRPr="000E0370" w:rsidRDefault="00F87443"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xml:space="preserve">Analizar desde la perspectiva legal </w:t>
            </w:r>
            <w:r w:rsidR="00257F75" w:rsidRPr="000E0370">
              <w:rPr>
                <w:rFonts w:ascii="Arial" w:hAnsi="Arial" w:cs="Arial"/>
                <w:color w:val="000000"/>
                <w:sz w:val="24"/>
                <w:szCs w:val="24"/>
                <w:lang w:eastAsia="es-CR"/>
              </w:rPr>
              <w:t>la</w:t>
            </w:r>
            <w:r w:rsidR="004E30EF" w:rsidRPr="000E0370">
              <w:rPr>
                <w:rFonts w:ascii="Arial" w:hAnsi="Arial" w:cs="Arial"/>
                <w:color w:val="000000"/>
                <w:sz w:val="24"/>
                <w:szCs w:val="24"/>
                <w:lang w:eastAsia="es-CR"/>
              </w:rPr>
              <w:t xml:space="preserve"> procedencia de los bienes donados por el I.C.D. a la Sección de Patología Forense.</w:t>
            </w:r>
          </w:p>
        </w:tc>
        <w:tc>
          <w:tcPr>
            <w:tcW w:w="3150" w:type="dxa"/>
            <w:gridSpan w:val="2"/>
          </w:tcPr>
          <w:p w:rsidR="00906899" w:rsidRPr="000E0370" w:rsidRDefault="00064D0B"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xml:space="preserve">Señalar las recomendaciones necesarias para </w:t>
            </w:r>
            <w:r w:rsidR="004E30EF" w:rsidRPr="000E0370">
              <w:rPr>
                <w:rFonts w:ascii="Arial" w:hAnsi="Arial" w:cs="Arial"/>
                <w:color w:val="000000"/>
                <w:sz w:val="24"/>
                <w:szCs w:val="24"/>
                <w:lang w:eastAsia="es-CR"/>
              </w:rPr>
              <w:t>efectuar de manera correcta la donación.</w:t>
            </w:r>
          </w:p>
        </w:tc>
      </w:tr>
      <w:tr w:rsidR="00906899" w:rsidRPr="000E0370" w:rsidTr="004561B8">
        <w:tc>
          <w:tcPr>
            <w:tcW w:w="3087" w:type="dxa"/>
          </w:tcPr>
          <w:p w:rsidR="00906899" w:rsidRPr="000E0370" w:rsidRDefault="004E30EF" w:rsidP="000670D8">
            <w:pPr>
              <w:suppressAutoHyphens/>
              <w:spacing w:line="276" w:lineRule="auto"/>
              <w:jc w:val="both"/>
              <w:rPr>
                <w:rFonts w:ascii="Arial" w:hAnsi="Arial" w:cs="Arial"/>
                <w:b/>
                <w:sz w:val="24"/>
                <w:szCs w:val="24"/>
                <w:highlight w:val="yellow"/>
              </w:rPr>
            </w:pPr>
            <w:r w:rsidRPr="000E0370">
              <w:rPr>
                <w:rFonts w:ascii="Arial" w:hAnsi="Arial" w:cs="Arial"/>
                <w:b/>
                <w:color w:val="000000"/>
                <w:sz w:val="24"/>
                <w:szCs w:val="24"/>
                <w:lang w:eastAsia="es-CR"/>
              </w:rPr>
              <w:t xml:space="preserve">Contrato </w:t>
            </w:r>
            <w:r w:rsidR="00B11CE8" w:rsidRPr="000E0370">
              <w:rPr>
                <w:rFonts w:ascii="Arial" w:hAnsi="Arial" w:cs="Arial"/>
                <w:b/>
                <w:color w:val="000000"/>
                <w:sz w:val="24"/>
                <w:szCs w:val="24"/>
                <w:lang w:eastAsia="es-CR"/>
              </w:rPr>
              <w:t>de</w:t>
            </w:r>
            <w:r w:rsidRPr="000E0370">
              <w:rPr>
                <w:rFonts w:ascii="Arial" w:hAnsi="Arial" w:cs="Arial"/>
                <w:b/>
                <w:color w:val="000000"/>
                <w:sz w:val="24"/>
                <w:szCs w:val="24"/>
                <w:lang w:eastAsia="es-CR"/>
              </w:rPr>
              <w:t xml:space="preserve"> "Servicios médicos bajo la modalidad de hora profesional para los servidores judiciales de la Ciudad Judicial de San Joaquín de Flores, Heredia.</w:t>
            </w:r>
          </w:p>
        </w:tc>
        <w:tc>
          <w:tcPr>
            <w:tcW w:w="3087" w:type="dxa"/>
          </w:tcPr>
          <w:p w:rsidR="00906899" w:rsidRPr="000E0370" w:rsidRDefault="004E30EF"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xml:space="preserve">Elaborar y presentar contrato </w:t>
            </w:r>
            <w:r w:rsidR="00B11CE8" w:rsidRPr="000E0370">
              <w:rPr>
                <w:rFonts w:ascii="Arial" w:hAnsi="Arial" w:cs="Arial"/>
                <w:color w:val="000000"/>
                <w:sz w:val="24"/>
                <w:szCs w:val="24"/>
                <w:lang w:eastAsia="es-CR"/>
              </w:rPr>
              <w:t>de Servicios médicos, de hora profesional, en beneficio las personas servidoras judiciales de la Ciudad Judicial</w:t>
            </w:r>
            <w:r w:rsidRPr="000E0370">
              <w:rPr>
                <w:rFonts w:ascii="Arial" w:hAnsi="Arial" w:cs="Arial"/>
                <w:color w:val="000000"/>
                <w:sz w:val="24"/>
                <w:szCs w:val="24"/>
                <w:lang w:eastAsia="es-CR"/>
              </w:rPr>
              <w:t>.</w:t>
            </w:r>
          </w:p>
        </w:tc>
        <w:tc>
          <w:tcPr>
            <w:tcW w:w="3150" w:type="dxa"/>
            <w:gridSpan w:val="2"/>
          </w:tcPr>
          <w:p w:rsidR="00906899" w:rsidRPr="000E0370" w:rsidRDefault="00B11CE8"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Contrato firmado y presentado al órgano encargado.</w:t>
            </w:r>
          </w:p>
        </w:tc>
      </w:tr>
      <w:tr w:rsidR="00906899" w:rsidRPr="000E0370" w:rsidTr="004561B8">
        <w:tc>
          <w:tcPr>
            <w:tcW w:w="3087" w:type="dxa"/>
          </w:tcPr>
          <w:p w:rsidR="00906899" w:rsidRPr="000E0370" w:rsidRDefault="00906899"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Estudio</w:t>
            </w:r>
            <w:r w:rsidR="004561B8" w:rsidRPr="000E0370">
              <w:rPr>
                <w:rFonts w:ascii="Arial" w:hAnsi="Arial" w:cs="Arial"/>
                <w:b/>
                <w:color w:val="000000"/>
                <w:sz w:val="24"/>
                <w:szCs w:val="24"/>
                <w:lang w:eastAsia="es-CR"/>
              </w:rPr>
              <w:t>s</w:t>
            </w:r>
            <w:r w:rsidRPr="000E0370">
              <w:rPr>
                <w:rFonts w:ascii="Arial" w:hAnsi="Arial" w:cs="Arial"/>
                <w:b/>
                <w:color w:val="000000"/>
                <w:sz w:val="24"/>
                <w:szCs w:val="24"/>
                <w:lang w:eastAsia="es-CR"/>
              </w:rPr>
              <w:t xml:space="preserve"> jurídico</w:t>
            </w:r>
            <w:r w:rsidR="004561B8" w:rsidRPr="000E0370">
              <w:rPr>
                <w:rFonts w:ascii="Arial" w:hAnsi="Arial" w:cs="Arial"/>
                <w:b/>
                <w:color w:val="000000"/>
                <w:sz w:val="24"/>
                <w:szCs w:val="24"/>
                <w:lang w:eastAsia="es-CR"/>
              </w:rPr>
              <w:t>s sobre la factibilidad de</w:t>
            </w:r>
            <w:r w:rsidR="00591F17" w:rsidRPr="000E0370">
              <w:rPr>
                <w:rFonts w:ascii="Arial" w:hAnsi="Arial" w:cs="Arial"/>
                <w:b/>
                <w:color w:val="000000"/>
                <w:sz w:val="24"/>
                <w:szCs w:val="24"/>
                <w:lang w:eastAsia="es-CR"/>
              </w:rPr>
              <w:t xml:space="preserve"> posible</w:t>
            </w:r>
            <w:r w:rsidR="004561B8" w:rsidRPr="000E0370">
              <w:rPr>
                <w:rFonts w:ascii="Arial" w:hAnsi="Arial" w:cs="Arial"/>
                <w:b/>
                <w:color w:val="000000"/>
                <w:sz w:val="24"/>
                <w:szCs w:val="24"/>
                <w:lang w:eastAsia="es-CR"/>
              </w:rPr>
              <w:t>s</w:t>
            </w:r>
            <w:r w:rsidR="00591F17" w:rsidRPr="000E0370">
              <w:rPr>
                <w:rFonts w:ascii="Arial" w:hAnsi="Arial" w:cs="Arial"/>
                <w:b/>
                <w:color w:val="000000"/>
                <w:sz w:val="24"/>
                <w:szCs w:val="24"/>
                <w:lang w:eastAsia="es-CR"/>
              </w:rPr>
              <w:t xml:space="preserve"> compra</w:t>
            </w:r>
            <w:r w:rsidR="004561B8" w:rsidRPr="000E0370">
              <w:rPr>
                <w:rFonts w:ascii="Arial" w:hAnsi="Arial" w:cs="Arial"/>
                <w:b/>
                <w:color w:val="000000"/>
                <w:sz w:val="24"/>
                <w:szCs w:val="24"/>
                <w:lang w:eastAsia="es-CR"/>
              </w:rPr>
              <w:t>s</w:t>
            </w:r>
            <w:r w:rsidR="00591F17" w:rsidRPr="000E0370">
              <w:rPr>
                <w:rFonts w:ascii="Arial" w:hAnsi="Arial" w:cs="Arial"/>
                <w:b/>
                <w:color w:val="000000"/>
                <w:sz w:val="24"/>
                <w:szCs w:val="24"/>
                <w:lang w:eastAsia="es-CR"/>
              </w:rPr>
              <w:t xml:space="preserve"> de propiedad</w:t>
            </w:r>
            <w:r w:rsidR="004561B8" w:rsidRPr="000E0370">
              <w:rPr>
                <w:rFonts w:ascii="Arial" w:hAnsi="Arial" w:cs="Arial"/>
                <w:b/>
                <w:color w:val="000000"/>
                <w:sz w:val="24"/>
                <w:szCs w:val="24"/>
                <w:lang w:eastAsia="es-CR"/>
              </w:rPr>
              <w:t>es para el Poder Judicial</w:t>
            </w:r>
            <w:r w:rsidR="00591F17" w:rsidRPr="000E0370">
              <w:rPr>
                <w:rFonts w:ascii="Arial" w:hAnsi="Arial" w:cs="Arial"/>
                <w:b/>
                <w:color w:val="000000"/>
                <w:sz w:val="24"/>
                <w:szCs w:val="24"/>
                <w:lang w:eastAsia="es-CR"/>
              </w:rPr>
              <w:t>.</w:t>
            </w:r>
          </w:p>
        </w:tc>
        <w:tc>
          <w:tcPr>
            <w:tcW w:w="3087" w:type="dxa"/>
          </w:tcPr>
          <w:p w:rsidR="00906899" w:rsidRPr="000E0370" w:rsidRDefault="00691E60"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Realizar estudio</w:t>
            </w:r>
            <w:r w:rsidR="004561B8" w:rsidRPr="000E0370">
              <w:rPr>
                <w:rFonts w:ascii="Arial" w:hAnsi="Arial" w:cs="Arial"/>
                <w:color w:val="000000"/>
                <w:sz w:val="24"/>
                <w:szCs w:val="24"/>
                <w:lang w:eastAsia="es-CR"/>
              </w:rPr>
              <w:t>s</w:t>
            </w:r>
            <w:r w:rsidRPr="000E0370">
              <w:rPr>
                <w:rFonts w:ascii="Arial" w:hAnsi="Arial" w:cs="Arial"/>
                <w:color w:val="000000"/>
                <w:sz w:val="24"/>
                <w:szCs w:val="24"/>
                <w:lang w:eastAsia="es-CR"/>
              </w:rPr>
              <w:t xml:space="preserve"> jurídico</w:t>
            </w:r>
            <w:r w:rsidR="004561B8" w:rsidRPr="000E0370">
              <w:rPr>
                <w:rFonts w:ascii="Arial" w:hAnsi="Arial" w:cs="Arial"/>
                <w:color w:val="000000"/>
                <w:sz w:val="24"/>
                <w:szCs w:val="24"/>
                <w:lang w:eastAsia="es-CR"/>
              </w:rPr>
              <w:t>s</w:t>
            </w:r>
            <w:r w:rsidRPr="000E0370">
              <w:rPr>
                <w:rFonts w:ascii="Arial" w:hAnsi="Arial" w:cs="Arial"/>
                <w:color w:val="000000"/>
                <w:sz w:val="24"/>
                <w:szCs w:val="24"/>
                <w:lang w:eastAsia="es-CR"/>
              </w:rPr>
              <w:t xml:space="preserve"> a fin de </w:t>
            </w:r>
            <w:r w:rsidR="004561B8" w:rsidRPr="000E0370">
              <w:rPr>
                <w:rFonts w:ascii="Arial" w:hAnsi="Arial" w:cs="Arial"/>
                <w:color w:val="000000"/>
                <w:sz w:val="24"/>
                <w:szCs w:val="24"/>
                <w:lang w:eastAsia="es-CR"/>
              </w:rPr>
              <w:t>determinar la factibilidad de compra</w:t>
            </w:r>
            <w:r w:rsidRPr="000E0370">
              <w:rPr>
                <w:rFonts w:ascii="Arial" w:hAnsi="Arial" w:cs="Arial"/>
                <w:color w:val="000000"/>
                <w:sz w:val="24"/>
                <w:szCs w:val="24"/>
                <w:lang w:eastAsia="es-CR"/>
              </w:rPr>
              <w:t xml:space="preserve"> de distintas propiedades que eventualmente podrá adquirir el Poder Judicial.</w:t>
            </w:r>
          </w:p>
        </w:tc>
        <w:tc>
          <w:tcPr>
            <w:tcW w:w="3150" w:type="dxa"/>
            <w:gridSpan w:val="2"/>
          </w:tcPr>
          <w:p w:rsidR="00906899" w:rsidRPr="000E0370" w:rsidRDefault="004561B8"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Emitir criterios jurídicos en los que se indique si es factible o no la compra de propiedades.</w:t>
            </w:r>
          </w:p>
        </w:tc>
      </w:tr>
      <w:tr w:rsidR="00906899" w:rsidRPr="000E0370" w:rsidTr="004561B8">
        <w:tc>
          <w:tcPr>
            <w:tcW w:w="3087" w:type="dxa"/>
          </w:tcPr>
          <w:p w:rsidR="00906899" w:rsidRPr="000E0370" w:rsidRDefault="00906899"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Revisión de</w:t>
            </w:r>
            <w:r w:rsidR="009936F7" w:rsidRPr="000E0370">
              <w:rPr>
                <w:rFonts w:ascii="Arial" w:hAnsi="Arial" w:cs="Arial"/>
                <w:b/>
                <w:color w:val="000000"/>
                <w:sz w:val="24"/>
                <w:szCs w:val="24"/>
                <w:lang w:eastAsia="es-CR"/>
              </w:rPr>
              <w:t xml:space="preserve"> programas y convenios para la formación y capacitación en los sectores jurisdiccional, auxiliar de justicia y administrativo.</w:t>
            </w:r>
          </w:p>
        </w:tc>
        <w:tc>
          <w:tcPr>
            <w:tcW w:w="3087" w:type="dxa"/>
          </w:tcPr>
          <w:p w:rsidR="00906899" w:rsidRPr="000E0370" w:rsidRDefault="009936F7"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Revisar los programas y convenios existentes a fin de determinar posibles mejoras para un mayor aprovechamiento.</w:t>
            </w:r>
          </w:p>
        </w:tc>
        <w:tc>
          <w:tcPr>
            <w:tcW w:w="3150" w:type="dxa"/>
            <w:gridSpan w:val="2"/>
          </w:tcPr>
          <w:p w:rsidR="00906899" w:rsidRPr="000E0370" w:rsidRDefault="009936F7"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xml:space="preserve">Adicionar y plantear recomendaciones para que los sectores involucrados </w:t>
            </w:r>
            <w:r w:rsidR="00F70479" w:rsidRPr="000E0370">
              <w:rPr>
                <w:rFonts w:ascii="Arial" w:hAnsi="Arial" w:cs="Arial"/>
                <w:color w:val="000000"/>
                <w:sz w:val="24"/>
                <w:szCs w:val="24"/>
                <w:lang w:eastAsia="es-CR"/>
              </w:rPr>
              <w:t>reciban mejores capacitaciones.</w:t>
            </w:r>
            <w:r w:rsidRPr="000E0370">
              <w:rPr>
                <w:rFonts w:ascii="Arial" w:hAnsi="Arial" w:cs="Arial"/>
                <w:color w:val="000000"/>
                <w:sz w:val="24"/>
                <w:szCs w:val="24"/>
                <w:lang w:eastAsia="es-CR"/>
              </w:rPr>
              <w:t xml:space="preserve"> </w:t>
            </w:r>
            <w:r w:rsidR="008E77B7" w:rsidRPr="000E0370">
              <w:rPr>
                <w:rFonts w:ascii="Arial" w:hAnsi="Arial" w:cs="Arial"/>
                <w:color w:val="000000"/>
                <w:sz w:val="24"/>
                <w:szCs w:val="24"/>
                <w:lang w:eastAsia="es-CR"/>
              </w:rPr>
              <w:t xml:space="preserve"> </w:t>
            </w:r>
          </w:p>
        </w:tc>
      </w:tr>
      <w:tr w:rsidR="00152A03" w:rsidRPr="000E0370" w:rsidTr="004561B8">
        <w:tc>
          <w:tcPr>
            <w:tcW w:w="3087" w:type="dxa"/>
          </w:tcPr>
          <w:p w:rsidR="00152A03" w:rsidRPr="000E0370" w:rsidRDefault="005716E5" w:rsidP="000670D8">
            <w:pPr>
              <w:suppressAutoHyphens/>
              <w:spacing w:line="276" w:lineRule="auto"/>
              <w:jc w:val="both"/>
              <w:rPr>
                <w:rFonts w:ascii="Arial" w:hAnsi="Arial" w:cs="Arial"/>
                <w:b/>
                <w:sz w:val="24"/>
                <w:szCs w:val="24"/>
                <w:highlight w:val="yellow"/>
              </w:rPr>
            </w:pPr>
            <w:r w:rsidRPr="000E0370">
              <w:rPr>
                <w:rFonts w:ascii="Arial" w:hAnsi="Arial" w:cs="Arial"/>
                <w:b/>
                <w:color w:val="000000"/>
                <w:sz w:val="24"/>
                <w:szCs w:val="24"/>
                <w:lang w:eastAsia="es-CR"/>
              </w:rPr>
              <w:t>Contrato de recolección, transporte y disposición de los desechos bioinfecciosos no anatomopatológicos de la Morgue Judicial</w:t>
            </w:r>
            <w:r w:rsidR="00177CC8" w:rsidRPr="000E0370">
              <w:rPr>
                <w:rFonts w:ascii="Arial" w:hAnsi="Arial" w:cs="Arial"/>
                <w:b/>
                <w:color w:val="000000"/>
                <w:sz w:val="24"/>
                <w:szCs w:val="24"/>
                <w:lang w:eastAsia="es-CR"/>
              </w:rPr>
              <w:t>.</w:t>
            </w:r>
          </w:p>
        </w:tc>
        <w:tc>
          <w:tcPr>
            <w:tcW w:w="3087" w:type="dxa"/>
          </w:tcPr>
          <w:p w:rsidR="00152A03" w:rsidRPr="000E0370" w:rsidRDefault="00F70479"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xml:space="preserve">Redactar y revisar </w:t>
            </w:r>
            <w:r w:rsidR="00177CC8" w:rsidRPr="000E0370">
              <w:rPr>
                <w:rFonts w:ascii="Arial" w:hAnsi="Arial" w:cs="Arial"/>
                <w:color w:val="000000"/>
                <w:sz w:val="24"/>
                <w:szCs w:val="24"/>
                <w:lang w:eastAsia="es-CR"/>
              </w:rPr>
              <w:t>contrato para el tratamiento que debe darse a los desechos bioinfecciosos no anatomopatológicos</w:t>
            </w:r>
            <w:r w:rsidRPr="000E0370">
              <w:rPr>
                <w:rFonts w:ascii="Arial" w:hAnsi="Arial" w:cs="Arial"/>
                <w:color w:val="000000"/>
                <w:sz w:val="24"/>
                <w:szCs w:val="24"/>
                <w:lang w:eastAsia="es-CR"/>
              </w:rPr>
              <w:t>.</w:t>
            </w:r>
          </w:p>
        </w:tc>
        <w:tc>
          <w:tcPr>
            <w:tcW w:w="3150" w:type="dxa"/>
            <w:gridSpan w:val="2"/>
          </w:tcPr>
          <w:p w:rsidR="00152A03" w:rsidRPr="000E0370" w:rsidRDefault="00F70479"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Contrato redactado y enviado al órgano encargado.</w:t>
            </w:r>
            <w:r w:rsidR="008E77B7" w:rsidRPr="000E0370">
              <w:rPr>
                <w:rFonts w:ascii="Arial" w:hAnsi="Arial" w:cs="Arial"/>
                <w:color w:val="000000"/>
                <w:sz w:val="24"/>
                <w:szCs w:val="24"/>
                <w:lang w:eastAsia="es-CR"/>
              </w:rPr>
              <w:t xml:space="preserve"> </w:t>
            </w:r>
          </w:p>
        </w:tc>
      </w:tr>
      <w:tr w:rsidR="004561B8" w:rsidRPr="000E0370" w:rsidTr="004561B8">
        <w:tc>
          <w:tcPr>
            <w:tcW w:w="3087" w:type="dxa"/>
          </w:tcPr>
          <w:p w:rsidR="004561B8" w:rsidRPr="000E0370" w:rsidRDefault="00B0582C" w:rsidP="000670D8">
            <w:pPr>
              <w:suppressAutoHyphens/>
              <w:spacing w:line="276" w:lineRule="auto"/>
              <w:jc w:val="both"/>
              <w:rPr>
                <w:rFonts w:ascii="Arial" w:hAnsi="Arial" w:cs="Arial"/>
                <w:b/>
                <w:sz w:val="24"/>
                <w:szCs w:val="24"/>
                <w:highlight w:val="yellow"/>
              </w:rPr>
            </w:pPr>
            <w:r w:rsidRPr="000E0370">
              <w:rPr>
                <w:rFonts w:ascii="Arial" w:hAnsi="Arial" w:cs="Arial"/>
                <w:b/>
                <w:color w:val="000000"/>
                <w:sz w:val="24"/>
                <w:szCs w:val="24"/>
                <w:lang w:eastAsia="es-CR"/>
              </w:rPr>
              <w:t>Elaboración y trámite de suscripción  de addendum, al contrato, del Reforzamiento Estructural del Edificio de la Corte Suprema de Justicia.</w:t>
            </w:r>
          </w:p>
        </w:tc>
        <w:tc>
          <w:tcPr>
            <w:tcW w:w="3087" w:type="dxa"/>
          </w:tcPr>
          <w:p w:rsidR="004561B8" w:rsidRPr="000E0370" w:rsidRDefault="000910BA"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xml:space="preserve">Elaborar y revisar </w:t>
            </w:r>
            <w:r w:rsidR="00B0582C" w:rsidRPr="000E0370">
              <w:rPr>
                <w:rFonts w:ascii="Arial" w:hAnsi="Arial" w:cs="Arial"/>
                <w:color w:val="000000"/>
                <w:sz w:val="24"/>
                <w:szCs w:val="24"/>
                <w:lang w:eastAsia="es-CR"/>
              </w:rPr>
              <w:t>addendum</w:t>
            </w:r>
            <w:r w:rsidRPr="000E0370">
              <w:rPr>
                <w:rFonts w:ascii="Arial" w:hAnsi="Arial" w:cs="Arial"/>
                <w:color w:val="000000"/>
                <w:sz w:val="24"/>
                <w:szCs w:val="24"/>
                <w:lang w:eastAsia="es-CR"/>
              </w:rPr>
              <w:t xml:space="preserve"> a fin de </w:t>
            </w:r>
            <w:r w:rsidR="00B0582C" w:rsidRPr="000E0370">
              <w:rPr>
                <w:rFonts w:ascii="Arial" w:hAnsi="Arial" w:cs="Arial"/>
                <w:color w:val="000000"/>
                <w:sz w:val="24"/>
                <w:szCs w:val="24"/>
                <w:lang w:eastAsia="es-CR"/>
              </w:rPr>
              <w:t>realizar mejoras del Reforzamiento Estructural de la Corte Suprema de Justicia</w:t>
            </w:r>
            <w:r w:rsidRPr="000E0370">
              <w:rPr>
                <w:rFonts w:ascii="Arial" w:hAnsi="Arial" w:cs="Arial"/>
                <w:color w:val="000000"/>
                <w:sz w:val="24"/>
                <w:szCs w:val="24"/>
                <w:lang w:eastAsia="es-CR"/>
              </w:rPr>
              <w:t>.</w:t>
            </w:r>
          </w:p>
        </w:tc>
        <w:tc>
          <w:tcPr>
            <w:tcW w:w="3150" w:type="dxa"/>
            <w:gridSpan w:val="2"/>
          </w:tcPr>
          <w:p w:rsidR="004561B8" w:rsidRPr="000E0370" w:rsidRDefault="00B0582C"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Addendum</w:t>
            </w:r>
            <w:r w:rsidR="000910BA" w:rsidRPr="000E0370">
              <w:rPr>
                <w:rFonts w:ascii="Arial" w:hAnsi="Arial" w:cs="Arial"/>
                <w:color w:val="000000"/>
                <w:sz w:val="24"/>
                <w:szCs w:val="24"/>
                <w:lang w:eastAsia="es-CR"/>
              </w:rPr>
              <w:t xml:space="preserve"> firmado </w:t>
            </w:r>
            <w:r w:rsidR="00F364E6" w:rsidRPr="000E0370">
              <w:rPr>
                <w:rFonts w:ascii="Arial" w:hAnsi="Arial" w:cs="Arial"/>
                <w:color w:val="000000"/>
                <w:sz w:val="24"/>
                <w:szCs w:val="24"/>
                <w:lang w:eastAsia="es-CR"/>
              </w:rPr>
              <w:t>y construcción en ejecución</w:t>
            </w:r>
            <w:r w:rsidR="000910BA" w:rsidRPr="000E0370">
              <w:rPr>
                <w:rFonts w:ascii="Arial" w:hAnsi="Arial" w:cs="Arial"/>
                <w:color w:val="000000"/>
                <w:sz w:val="24"/>
                <w:szCs w:val="24"/>
                <w:lang w:eastAsia="es-CR"/>
              </w:rPr>
              <w:t>.</w:t>
            </w:r>
          </w:p>
        </w:tc>
      </w:tr>
      <w:tr w:rsidR="004561B8" w:rsidRPr="000E0370" w:rsidTr="004561B8">
        <w:tc>
          <w:tcPr>
            <w:tcW w:w="3087" w:type="dxa"/>
          </w:tcPr>
          <w:p w:rsidR="004561B8" w:rsidRPr="000E0370" w:rsidRDefault="00F364E6" w:rsidP="000670D8">
            <w:pPr>
              <w:suppressAutoHyphens/>
              <w:spacing w:line="276" w:lineRule="auto"/>
              <w:jc w:val="both"/>
              <w:rPr>
                <w:rFonts w:ascii="Arial" w:hAnsi="Arial" w:cs="Arial"/>
                <w:b/>
                <w:sz w:val="24"/>
                <w:szCs w:val="24"/>
                <w:highlight w:val="yellow"/>
              </w:rPr>
            </w:pPr>
            <w:r w:rsidRPr="000E0370">
              <w:rPr>
                <w:rFonts w:ascii="Arial" w:hAnsi="Arial" w:cs="Arial"/>
                <w:b/>
                <w:color w:val="000000"/>
                <w:sz w:val="24"/>
                <w:szCs w:val="24"/>
                <w:lang w:eastAsia="es-CR"/>
              </w:rPr>
              <w:t>Informe sobre diligencias y procedimiento a realizar en caso de rescisión del contrato de parqueo para vehículos del O.I.J.</w:t>
            </w:r>
          </w:p>
        </w:tc>
        <w:tc>
          <w:tcPr>
            <w:tcW w:w="3087" w:type="dxa"/>
          </w:tcPr>
          <w:p w:rsidR="004561B8" w:rsidRPr="000E0370" w:rsidRDefault="000910BA"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xml:space="preserve">Elaborar y presentar </w:t>
            </w:r>
            <w:r w:rsidR="00F364E6" w:rsidRPr="000E0370">
              <w:rPr>
                <w:rFonts w:ascii="Arial" w:hAnsi="Arial" w:cs="Arial"/>
                <w:color w:val="000000"/>
                <w:sz w:val="24"/>
                <w:szCs w:val="24"/>
                <w:lang w:eastAsia="es-CR"/>
              </w:rPr>
              <w:t>informe sobre el proceso a seguir en caso de rescindirse el contrato de parqueo para vehículos del OIJ</w:t>
            </w:r>
            <w:r w:rsidRPr="000E0370">
              <w:rPr>
                <w:rFonts w:ascii="Arial" w:hAnsi="Arial" w:cs="Arial"/>
                <w:color w:val="000000"/>
                <w:sz w:val="24"/>
                <w:szCs w:val="24"/>
                <w:lang w:eastAsia="es-CR"/>
              </w:rPr>
              <w:t>.</w:t>
            </w:r>
          </w:p>
        </w:tc>
        <w:tc>
          <w:tcPr>
            <w:tcW w:w="3150" w:type="dxa"/>
            <w:gridSpan w:val="2"/>
          </w:tcPr>
          <w:p w:rsidR="004561B8" w:rsidRPr="000E0370" w:rsidRDefault="00F364E6"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Informe presentado al Orgáno encargado</w:t>
            </w:r>
            <w:r w:rsidR="008B4ED7" w:rsidRPr="000E0370">
              <w:rPr>
                <w:rFonts w:ascii="Arial" w:hAnsi="Arial" w:cs="Arial"/>
                <w:color w:val="000000"/>
                <w:sz w:val="24"/>
                <w:szCs w:val="24"/>
                <w:lang w:eastAsia="es-CR"/>
              </w:rPr>
              <w:t>.</w:t>
            </w:r>
          </w:p>
        </w:tc>
      </w:tr>
      <w:tr w:rsidR="004561B8" w:rsidRPr="000E0370" w:rsidTr="004561B8">
        <w:tc>
          <w:tcPr>
            <w:tcW w:w="3087" w:type="dxa"/>
          </w:tcPr>
          <w:p w:rsidR="004561B8" w:rsidRPr="000E0370" w:rsidRDefault="002E3FF8" w:rsidP="000670D8">
            <w:pPr>
              <w:suppressAutoHyphens/>
              <w:spacing w:line="276" w:lineRule="auto"/>
              <w:jc w:val="both"/>
              <w:rPr>
                <w:rFonts w:ascii="Arial" w:hAnsi="Arial" w:cs="Arial"/>
                <w:b/>
                <w:sz w:val="24"/>
                <w:szCs w:val="24"/>
                <w:highlight w:val="yellow"/>
              </w:rPr>
            </w:pPr>
            <w:r w:rsidRPr="000E0370">
              <w:rPr>
                <w:rFonts w:ascii="Arial" w:hAnsi="Arial" w:cs="Arial"/>
                <w:b/>
                <w:color w:val="000000"/>
                <w:sz w:val="24"/>
                <w:szCs w:val="24"/>
                <w:lang w:eastAsia="es-CR"/>
              </w:rPr>
              <w:t>Revisión de ofertas Licitación Abreviada, cuyo objeto es el "S</w:t>
            </w:r>
            <w:r w:rsidR="000E0370" w:rsidRPr="000E0370">
              <w:rPr>
                <w:rFonts w:ascii="Arial" w:hAnsi="Arial" w:cs="Arial"/>
                <w:b/>
                <w:color w:val="000000"/>
                <w:sz w:val="24"/>
                <w:szCs w:val="24"/>
                <w:lang w:eastAsia="es-CR"/>
              </w:rPr>
              <w:t>ervicio para desarrollo de una solución informática que permita la búsqueda sobre documentos jurídicos y administrativos de una manera ágil y eficiente</w:t>
            </w:r>
            <w:r w:rsidRPr="000E0370">
              <w:rPr>
                <w:rFonts w:ascii="Arial" w:hAnsi="Arial" w:cs="Arial"/>
                <w:b/>
                <w:color w:val="000000"/>
                <w:sz w:val="24"/>
                <w:szCs w:val="24"/>
                <w:lang w:eastAsia="es-CR"/>
              </w:rPr>
              <w:t>". </w:t>
            </w:r>
          </w:p>
        </w:tc>
        <w:tc>
          <w:tcPr>
            <w:tcW w:w="3087" w:type="dxa"/>
          </w:tcPr>
          <w:p w:rsidR="004561B8" w:rsidRPr="000E0370" w:rsidRDefault="005D527E" w:rsidP="000670D8">
            <w:pPr>
              <w:suppressAutoHyphens/>
              <w:spacing w:line="276" w:lineRule="auto"/>
              <w:jc w:val="both"/>
              <w:rPr>
                <w:rFonts w:ascii="Arial" w:hAnsi="Arial" w:cs="Arial"/>
                <w:sz w:val="24"/>
                <w:szCs w:val="24"/>
                <w:highlight w:val="yellow"/>
              </w:rPr>
            </w:pPr>
            <w:r w:rsidRPr="000E0370">
              <w:rPr>
                <w:rFonts w:ascii="Arial" w:hAnsi="Arial" w:cs="Arial"/>
                <w:color w:val="000000"/>
                <w:sz w:val="24"/>
                <w:szCs w:val="24"/>
                <w:lang w:eastAsia="es-CR"/>
              </w:rPr>
              <w:t>Emitir la recomendación sobre cuáles son los oferentes que cumplen con todos los requisitos legales necesarios.</w:t>
            </w:r>
          </w:p>
        </w:tc>
        <w:tc>
          <w:tcPr>
            <w:tcW w:w="3150" w:type="dxa"/>
            <w:gridSpan w:val="2"/>
          </w:tcPr>
          <w:p w:rsidR="004561B8" w:rsidRPr="000E0370" w:rsidRDefault="005D527E" w:rsidP="000670D8">
            <w:pPr>
              <w:suppressAutoHyphens/>
              <w:spacing w:line="276" w:lineRule="auto"/>
              <w:jc w:val="both"/>
              <w:rPr>
                <w:rFonts w:ascii="Arial" w:hAnsi="Arial" w:cs="Arial"/>
                <w:sz w:val="24"/>
                <w:szCs w:val="24"/>
                <w:highlight w:val="yellow"/>
              </w:rPr>
            </w:pPr>
            <w:r w:rsidRPr="000E0370">
              <w:rPr>
                <w:rFonts w:ascii="Arial" w:hAnsi="Arial" w:cs="Arial"/>
                <w:color w:val="000000"/>
                <w:sz w:val="24"/>
                <w:szCs w:val="24"/>
                <w:lang w:eastAsia="es-CR"/>
              </w:rPr>
              <w:t>Valorar las propuestas de los distintos oferentes para el Arrendamiento de dicho software, a fin de determinar legalmente cual es la mejor oferta para el Poder Judicial.</w:t>
            </w:r>
          </w:p>
        </w:tc>
      </w:tr>
      <w:tr w:rsidR="004561B8" w:rsidRPr="000E0370" w:rsidTr="004561B8">
        <w:tc>
          <w:tcPr>
            <w:tcW w:w="3087" w:type="dxa"/>
          </w:tcPr>
          <w:p w:rsidR="004561B8" w:rsidRPr="000E0370" w:rsidRDefault="005D527E" w:rsidP="000670D8">
            <w:pPr>
              <w:suppressAutoHyphens/>
              <w:spacing w:line="276" w:lineRule="auto"/>
              <w:jc w:val="both"/>
              <w:rPr>
                <w:rFonts w:ascii="Arial" w:hAnsi="Arial" w:cs="Arial"/>
                <w:b/>
                <w:sz w:val="24"/>
                <w:szCs w:val="24"/>
                <w:highlight w:val="yellow"/>
              </w:rPr>
            </w:pPr>
            <w:r w:rsidRPr="000E0370">
              <w:rPr>
                <w:rFonts w:ascii="Arial" w:hAnsi="Arial" w:cs="Arial"/>
                <w:b/>
                <w:color w:val="000000"/>
                <w:sz w:val="24"/>
                <w:szCs w:val="24"/>
                <w:lang w:eastAsia="es-CR"/>
              </w:rPr>
              <w:t xml:space="preserve">Revisión a la propuesta del Reglamento para la Administración del Fondo Especial para la Protección a Víctimas y Testigos y demás sujetos intervinientes en el proceso penal. </w:t>
            </w:r>
          </w:p>
        </w:tc>
        <w:tc>
          <w:tcPr>
            <w:tcW w:w="3087" w:type="dxa"/>
          </w:tcPr>
          <w:p w:rsidR="004561B8" w:rsidRPr="000E0370" w:rsidRDefault="005D527E"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Análisis Le</w:t>
            </w:r>
            <w:r w:rsidR="0043398A" w:rsidRPr="000E0370">
              <w:rPr>
                <w:rFonts w:ascii="Arial" w:hAnsi="Arial" w:cs="Arial"/>
                <w:color w:val="000000"/>
                <w:sz w:val="24"/>
                <w:szCs w:val="24"/>
                <w:lang w:eastAsia="es-CR"/>
              </w:rPr>
              <w:t>gal sobre la propuesta del Reglamento mencionado.</w:t>
            </w:r>
          </w:p>
        </w:tc>
        <w:tc>
          <w:tcPr>
            <w:tcW w:w="3150" w:type="dxa"/>
            <w:gridSpan w:val="2"/>
          </w:tcPr>
          <w:p w:rsidR="004561B8" w:rsidRPr="000E0370" w:rsidRDefault="0043398A"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rindió informe con criterio legal y recomendaciones planteadas por la Dirección Jurídica.</w:t>
            </w:r>
          </w:p>
        </w:tc>
      </w:tr>
      <w:tr w:rsidR="004561B8" w:rsidRPr="000E0370" w:rsidTr="004561B8">
        <w:tc>
          <w:tcPr>
            <w:tcW w:w="3087" w:type="dxa"/>
          </w:tcPr>
          <w:p w:rsidR="004561B8" w:rsidRPr="000E0370" w:rsidRDefault="00D043F2" w:rsidP="000670D8">
            <w:pPr>
              <w:suppressAutoHyphens/>
              <w:spacing w:line="276" w:lineRule="auto"/>
              <w:jc w:val="both"/>
              <w:rPr>
                <w:rFonts w:ascii="Arial" w:hAnsi="Arial" w:cs="Arial"/>
                <w:b/>
                <w:sz w:val="24"/>
                <w:szCs w:val="24"/>
                <w:highlight w:val="yellow"/>
              </w:rPr>
            </w:pPr>
            <w:r w:rsidRPr="000E0370">
              <w:rPr>
                <w:rFonts w:ascii="Arial" w:hAnsi="Arial" w:cs="Arial"/>
                <w:b/>
                <w:color w:val="000000"/>
                <w:sz w:val="24"/>
                <w:szCs w:val="24"/>
                <w:lang w:eastAsia="es-CR"/>
              </w:rPr>
              <w:t>Criterio legal remitido a la Dirección Ejecutiva sobre la consulta realizada ante la problemática de la viabilidad vial del proyecto del Circuito Judicial de Hatillo.</w:t>
            </w:r>
          </w:p>
        </w:tc>
        <w:tc>
          <w:tcPr>
            <w:tcW w:w="3087" w:type="dxa"/>
          </w:tcPr>
          <w:p w:rsidR="004561B8" w:rsidRPr="000E0370" w:rsidRDefault="00D043F2"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Análisis legal de la problemática vial del Circuito Judicial de Hatillo.</w:t>
            </w:r>
          </w:p>
        </w:tc>
        <w:tc>
          <w:tcPr>
            <w:tcW w:w="3150" w:type="dxa"/>
            <w:gridSpan w:val="2"/>
          </w:tcPr>
          <w:p w:rsidR="004561B8" w:rsidRPr="000E0370" w:rsidRDefault="00D043F2"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Criterio remitido a la Dirección Ejecutiva para su valoración.</w:t>
            </w:r>
          </w:p>
        </w:tc>
      </w:tr>
      <w:tr w:rsidR="004561B8" w:rsidRPr="000E0370" w:rsidTr="004561B8">
        <w:tc>
          <w:tcPr>
            <w:tcW w:w="3087" w:type="dxa"/>
          </w:tcPr>
          <w:p w:rsidR="004561B8" w:rsidRPr="000E0370" w:rsidRDefault="00CF76B9" w:rsidP="000670D8">
            <w:pPr>
              <w:suppressAutoHyphens/>
              <w:spacing w:line="276" w:lineRule="auto"/>
              <w:jc w:val="both"/>
              <w:rPr>
                <w:rFonts w:ascii="Arial" w:hAnsi="Arial" w:cs="Arial"/>
                <w:b/>
                <w:sz w:val="24"/>
                <w:szCs w:val="24"/>
                <w:highlight w:val="yellow"/>
              </w:rPr>
            </w:pPr>
            <w:r w:rsidRPr="000E0370">
              <w:rPr>
                <w:rFonts w:ascii="Arial" w:hAnsi="Arial" w:cs="Arial"/>
                <w:b/>
                <w:color w:val="000000"/>
                <w:sz w:val="24"/>
                <w:szCs w:val="24"/>
                <w:lang w:eastAsia="es-CR"/>
              </w:rPr>
              <w:t>Contrato de Arrendamiento para alojar la Sala Segunda</w:t>
            </w:r>
          </w:p>
        </w:tc>
        <w:tc>
          <w:tcPr>
            <w:tcW w:w="3087" w:type="dxa"/>
          </w:tcPr>
          <w:p w:rsidR="004561B8" w:rsidRPr="000E0370" w:rsidRDefault="00CF76B9" w:rsidP="000670D8">
            <w:pPr>
              <w:suppressAutoHyphens/>
              <w:spacing w:line="276" w:lineRule="auto"/>
              <w:jc w:val="both"/>
              <w:rPr>
                <w:rFonts w:ascii="Arial" w:hAnsi="Arial" w:cs="Arial"/>
                <w:sz w:val="24"/>
                <w:szCs w:val="24"/>
                <w:highlight w:val="yellow"/>
              </w:rPr>
            </w:pPr>
            <w:r w:rsidRPr="000E0370">
              <w:rPr>
                <w:rFonts w:ascii="Arial" w:hAnsi="Arial" w:cs="Arial"/>
                <w:color w:val="000000"/>
                <w:sz w:val="24"/>
                <w:szCs w:val="24"/>
                <w:lang w:eastAsia="es-CR"/>
              </w:rPr>
              <w:t>Redactar y revisar contrato para alojar las instalaciones del edificio de la Sala Segunda.</w:t>
            </w:r>
          </w:p>
        </w:tc>
        <w:tc>
          <w:tcPr>
            <w:tcW w:w="3150" w:type="dxa"/>
            <w:gridSpan w:val="2"/>
          </w:tcPr>
          <w:p w:rsidR="004561B8" w:rsidRPr="000E0370" w:rsidRDefault="00CF76B9" w:rsidP="000670D8">
            <w:pPr>
              <w:suppressAutoHyphens/>
              <w:spacing w:line="276" w:lineRule="auto"/>
              <w:jc w:val="both"/>
              <w:rPr>
                <w:rFonts w:ascii="Arial" w:hAnsi="Arial" w:cs="Arial"/>
                <w:sz w:val="24"/>
                <w:szCs w:val="24"/>
                <w:highlight w:val="yellow"/>
              </w:rPr>
            </w:pPr>
            <w:r w:rsidRPr="000E0370">
              <w:rPr>
                <w:rFonts w:ascii="Arial" w:hAnsi="Arial" w:cs="Arial"/>
                <w:color w:val="000000"/>
                <w:sz w:val="24"/>
                <w:szCs w:val="24"/>
                <w:lang w:eastAsia="es-CR"/>
              </w:rPr>
              <w:t>Contrato redactado y enviado al órgano encargado.</w:t>
            </w:r>
          </w:p>
        </w:tc>
      </w:tr>
      <w:tr w:rsidR="004561B8" w:rsidRPr="000E0370" w:rsidTr="004561B8">
        <w:tc>
          <w:tcPr>
            <w:tcW w:w="3087" w:type="dxa"/>
          </w:tcPr>
          <w:p w:rsidR="004561B8" w:rsidRPr="000E0370" w:rsidRDefault="007146F1" w:rsidP="000670D8">
            <w:pPr>
              <w:suppressAutoHyphens/>
              <w:spacing w:line="276" w:lineRule="auto"/>
              <w:jc w:val="both"/>
              <w:rPr>
                <w:rFonts w:ascii="Arial" w:hAnsi="Arial" w:cs="Arial"/>
                <w:b/>
                <w:sz w:val="24"/>
                <w:szCs w:val="24"/>
                <w:highlight w:val="yellow"/>
              </w:rPr>
            </w:pPr>
            <w:r w:rsidRPr="000E0370">
              <w:rPr>
                <w:rFonts w:ascii="Arial" w:hAnsi="Arial" w:cs="Arial"/>
                <w:b/>
                <w:iCs/>
                <w:color w:val="000000"/>
                <w:sz w:val="24"/>
                <w:szCs w:val="24"/>
                <w:lang w:eastAsia="es-CR"/>
              </w:rPr>
              <w:t>Convenio de Cooperación entre el Poder Judicial de la Republica de Costa Rica y el Ministerio de Seguridad Pública a través de la Dirección General de Armamento</w:t>
            </w:r>
            <w:r w:rsidRPr="000E0370">
              <w:rPr>
                <w:rFonts w:ascii="Arial" w:hAnsi="Arial" w:cs="Arial"/>
                <w:b/>
                <w:sz w:val="24"/>
                <w:szCs w:val="24"/>
                <w:highlight w:val="yellow"/>
              </w:rPr>
              <w:t xml:space="preserve"> </w:t>
            </w:r>
          </w:p>
        </w:tc>
        <w:tc>
          <w:tcPr>
            <w:tcW w:w="3087" w:type="dxa"/>
          </w:tcPr>
          <w:p w:rsidR="004561B8" w:rsidRPr="000E0370" w:rsidRDefault="003A5B61"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Revisar c</w:t>
            </w:r>
            <w:r w:rsidR="004561B8" w:rsidRPr="000E0370">
              <w:rPr>
                <w:rFonts w:ascii="Arial" w:hAnsi="Arial" w:cs="Arial"/>
                <w:color w:val="000000"/>
                <w:sz w:val="24"/>
                <w:szCs w:val="24"/>
                <w:lang w:eastAsia="es-CR"/>
              </w:rPr>
              <w:t xml:space="preserve">onvenio de cooperación </w:t>
            </w:r>
            <w:r w:rsidR="007146F1" w:rsidRPr="000E0370">
              <w:rPr>
                <w:rFonts w:ascii="Arial" w:hAnsi="Arial" w:cs="Arial"/>
                <w:color w:val="000000"/>
                <w:sz w:val="24"/>
                <w:szCs w:val="24"/>
                <w:lang w:eastAsia="es-CR"/>
              </w:rPr>
              <w:t>entre el Poder Judicial y el Ministerio de Seguridad Pública</w:t>
            </w:r>
            <w:r w:rsidR="004561B8" w:rsidRPr="000E0370">
              <w:rPr>
                <w:rFonts w:ascii="Arial" w:hAnsi="Arial" w:cs="Arial"/>
                <w:color w:val="000000"/>
                <w:sz w:val="24"/>
                <w:szCs w:val="24"/>
                <w:lang w:eastAsia="es-CR"/>
              </w:rPr>
              <w:t>.</w:t>
            </w:r>
          </w:p>
          <w:p w:rsidR="004561B8" w:rsidRPr="000E0370" w:rsidRDefault="004561B8" w:rsidP="000670D8">
            <w:pPr>
              <w:suppressAutoHyphens/>
              <w:spacing w:line="276" w:lineRule="auto"/>
              <w:jc w:val="both"/>
              <w:rPr>
                <w:rFonts w:ascii="Arial" w:hAnsi="Arial" w:cs="Arial"/>
                <w:color w:val="000000"/>
                <w:sz w:val="24"/>
                <w:szCs w:val="24"/>
                <w:lang w:eastAsia="es-CR"/>
              </w:rPr>
            </w:pPr>
          </w:p>
          <w:p w:rsidR="004561B8" w:rsidRPr="000E0370" w:rsidRDefault="004561B8" w:rsidP="000670D8">
            <w:pPr>
              <w:widowControl w:val="0"/>
              <w:autoSpaceDE w:val="0"/>
              <w:autoSpaceDN w:val="0"/>
              <w:spacing w:before="216" w:line="276" w:lineRule="auto"/>
              <w:jc w:val="both"/>
              <w:rPr>
                <w:rFonts w:ascii="Arial" w:hAnsi="Arial" w:cs="Arial"/>
                <w:color w:val="000000"/>
                <w:sz w:val="24"/>
                <w:szCs w:val="24"/>
                <w:lang w:eastAsia="es-CR"/>
              </w:rPr>
            </w:pPr>
          </w:p>
          <w:p w:rsidR="004561B8" w:rsidRPr="000E0370" w:rsidRDefault="004561B8" w:rsidP="000670D8">
            <w:pPr>
              <w:suppressAutoHyphens/>
              <w:spacing w:line="276" w:lineRule="auto"/>
              <w:jc w:val="both"/>
              <w:rPr>
                <w:rFonts w:ascii="Arial" w:hAnsi="Arial" w:cs="Arial"/>
                <w:color w:val="000000"/>
                <w:sz w:val="24"/>
                <w:szCs w:val="24"/>
                <w:lang w:eastAsia="es-CR"/>
              </w:rPr>
            </w:pPr>
          </w:p>
        </w:tc>
        <w:tc>
          <w:tcPr>
            <w:tcW w:w="3150" w:type="dxa"/>
            <w:gridSpan w:val="2"/>
          </w:tcPr>
          <w:p w:rsidR="004561B8" w:rsidRPr="000E0370" w:rsidRDefault="007146F1"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Establecer lineamientos en el control de armamento entre ambas instituciones.</w:t>
            </w:r>
          </w:p>
        </w:tc>
      </w:tr>
      <w:tr w:rsidR="004561B8" w:rsidRPr="000E0370" w:rsidTr="004561B8">
        <w:tc>
          <w:tcPr>
            <w:tcW w:w="3087" w:type="dxa"/>
          </w:tcPr>
          <w:p w:rsidR="004561B8" w:rsidRPr="000E0370" w:rsidRDefault="007146F1" w:rsidP="000670D8">
            <w:pPr>
              <w:suppressAutoHyphens/>
              <w:spacing w:line="276" w:lineRule="auto"/>
              <w:jc w:val="both"/>
              <w:rPr>
                <w:rFonts w:ascii="Arial" w:hAnsi="Arial" w:cs="Arial"/>
                <w:b/>
                <w:sz w:val="24"/>
                <w:szCs w:val="24"/>
                <w:highlight w:val="yellow"/>
              </w:rPr>
            </w:pPr>
            <w:r w:rsidRPr="000E0370">
              <w:rPr>
                <w:rFonts w:ascii="Arial" w:hAnsi="Arial" w:cs="Arial"/>
                <w:b/>
                <w:iCs/>
                <w:color w:val="000000"/>
                <w:sz w:val="24"/>
                <w:szCs w:val="24"/>
                <w:lang w:eastAsia="es-CR"/>
              </w:rPr>
              <w:t>Memorando de Entendimiento entre el Poder Judicial y la Organización de las Naciones Unidas para la Educación, la Ciencia y la Cultura</w:t>
            </w:r>
          </w:p>
        </w:tc>
        <w:tc>
          <w:tcPr>
            <w:tcW w:w="3087" w:type="dxa"/>
          </w:tcPr>
          <w:p w:rsidR="004561B8" w:rsidRPr="000E0370" w:rsidRDefault="00B54277" w:rsidP="000670D8">
            <w:pPr>
              <w:suppressAutoHyphens/>
              <w:spacing w:line="276" w:lineRule="auto"/>
              <w:jc w:val="both"/>
              <w:rPr>
                <w:rFonts w:ascii="Arial" w:hAnsi="Arial" w:cs="Arial"/>
                <w:iCs/>
                <w:color w:val="000000"/>
                <w:sz w:val="24"/>
                <w:szCs w:val="24"/>
                <w:lang w:eastAsia="es-CR"/>
              </w:rPr>
            </w:pPr>
            <w:r w:rsidRPr="000E0370">
              <w:rPr>
                <w:rFonts w:ascii="Arial" w:hAnsi="Arial" w:cs="Arial"/>
                <w:iCs/>
                <w:color w:val="000000"/>
                <w:sz w:val="24"/>
                <w:szCs w:val="24"/>
                <w:lang w:eastAsia="es-CR"/>
              </w:rPr>
              <w:t>Revisar</w:t>
            </w:r>
            <w:r w:rsidR="001947C8" w:rsidRPr="000E0370">
              <w:rPr>
                <w:rFonts w:ascii="Arial" w:hAnsi="Arial" w:cs="Arial"/>
                <w:iCs/>
                <w:color w:val="000000"/>
                <w:sz w:val="24"/>
                <w:szCs w:val="24"/>
                <w:lang w:eastAsia="es-CR"/>
              </w:rPr>
              <w:t xml:space="preserve"> M</w:t>
            </w:r>
            <w:r w:rsidR="008B67C5" w:rsidRPr="000E0370">
              <w:rPr>
                <w:rFonts w:ascii="Arial" w:hAnsi="Arial" w:cs="Arial"/>
                <w:iCs/>
                <w:color w:val="000000"/>
                <w:sz w:val="24"/>
                <w:szCs w:val="24"/>
                <w:lang w:eastAsia="es-CR"/>
              </w:rPr>
              <w:t>emorando de entendimiento</w:t>
            </w:r>
            <w:r w:rsidR="001947C8" w:rsidRPr="000E0370">
              <w:rPr>
                <w:rFonts w:ascii="Arial" w:hAnsi="Arial" w:cs="Arial"/>
                <w:iCs/>
                <w:color w:val="000000"/>
                <w:sz w:val="24"/>
                <w:szCs w:val="24"/>
                <w:lang w:eastAsia="es-CR"/>
              </w:rPr>
              <w:t xml:space="preserve"> del Convenio</w:t>
            </w:r>
            <w:r w:rsidR="008B67C5" w:rsidRPr="000E0370">
              <w:rPr>
                <w:rFonts w:ascii="Arial" w:hAnsi="Arial" w:cs="Arial"/>
                <w:iCs/>
                <w:color w:val="000000"/>
                <w:sz w:val="24"/>
                <w:szCs w:val="24"/>
                <w:lang w:eastAsia="es-CR"/>
              </w:rPr>
              <w:t xml:space="preserve"> entre ambas instituciones.</w:t>
            </w:r>
          </w:p>
        </w:tc>
        <w:tc>
          <w:tcPr>
            <w:tcW w:w="3150" w:type="dxa"/>
            <w:gridSpan w:val="2"/>
          </w:tcPr>
          <w:p w:rsidR="004561B8" w:rsidRPr="000E0370" w:rsidRDefault="00B54277" w:rsidP="000670D8">
            <w:pPr>
              <w:suppressAutoHyphens/>
              <w:spacing w:line="276" w:lineRule="auto"/>
              <w:jc w:val="both"/>
              <w:rPr>
                <w:rFonts w:ascii="Arial" w:hAnsi="Arial" w:cs="Arial"/>
                <w:iCs/>
                <w:color w:val="000000"/>
                <w:sz w:val="24"/>
                <w:szCs w:val="24"/>
                <w:lang w:eastAsia="es-CR"/>
              </w:rPr>
            </w:pPr>
            <w:r w:rsidRPr="000E0370">
              <w:rPr>
                <w:rFonts w:ascii="Arial" w:hAnsi="Arial" w:cs="Arial"/>
                <w:iCs/>
                <w:color w:val="000000"/>
                <w:sz w:val="24"/>
                <w:szCs w:val="24"/>
                <w:lang w:eastAsia="es-CR"/>
              </w:rPr>
              <w:t>D</w:t>
            </w:r>
            <w:r w:rsidR="004561B8" w:rsidRPr="000E0370">
              <w:rPr>
                <w:rFonts w:ascii="Arial" w:hAnsi="Arial" w:cs="Arial"/>
                <w:iCs/>
                <w:color w:val="000000"/>
                <w:sz w:val="24"/>
                <w:szCs w:val="24"/>
                <w:lang w:eastAsia="es-CR"/>
              </w:rPr>
              <w:t xml:space="preserve">efinir </w:t>
            </w:r>
            <w:r w:rsidR="008B67C5" w:rsidRPr="000E0370">
              <w:rPr>
                <w:rFonts w:ascii="Arial" w:hAnsi="Arial" w:cs="Arial"/>
                <w:iCs/>
                <w:color w:val="000000"/>
                <w:sz w:val="24"/>
                <w:szCs w:val="24"/>
                <w:lang w:eastAsia="es-CR"/>
              </w:rPr>
              <w:t>pautas y procedimientos a seguir entre el Poder Judicial y la Organización de las Naciones Unidas para la Educación, la Ciencia y la Cultura.</w:t>
            </w:r>
          </w:p>
        </w:tc>
      </w:tr>
      <w:tr w:rsidR="004561B8" w:rsidRPr="000E0370" w:rsidTr="004561B8">
        <w:tc>
          <w:tcPr>
            <w:tcW w:w="3087" w:type="dxa"/>
          </w:tcPr>
          <w:p w:rsidR="004561B8" w:rsidRPr="000E0370" w:rsidRDefault="007146F1" w:rsidP="000670D8">
            <w:pPr>
              <w:suppressAutoHyphens/>
              <w:spacing w:line="276" w:lineRule="auto"/>
              <w:jc w:val="both"/>
              <w:rPr>
                <w:rFonts w:ascii="Arial" w:hAnsi="Arial" w:cs="Arial"/>
                <w:b/>
                <w:sz w:val="24"/>
                <w:szCs w:val="24"/>
                <w:highlight w:val="yellow"/>
              </w:rPr>
            </w:pPr>
            <w:r w:rsidRPr="000E0370">
              <w:rPr>
                <w:rFonts w:ascii="Arial" w:hAnsi="Arial" w:cs="Arial"/>
                <w:b/>
                <w:iCs/>
                <w:color w:val="000000"/>
                <w:sz w:val="24"/>
                <w:szCs w:val="24"/>
                <w:lang w:eastAsia="es-CR"/>
              </w:rPr>
              <w:t>Convenio de Cooperación Interinstitucional para la Inhumación de Cadáveres en el Cementerio Calvo del Cantón Central de San José Corte Suprema de Justicia y Municipalidad de San José</w:t>
            </w:r>
            <w:r w:rsidR="001947C8" w:rsidRPr="000E0370">
              <w:rPr>
                <w:rFonts w:ascii="Arial" w:hAnsi="Arial" w:cs="Arial"/>
                <w:b/>
                <w:iCs/>
                <w:color w:val="000000"/>
                <w:sz w:val="24"/>
                <w:szCs w:val="24"/>
                <w:lang w:eastAsia="es-CR"/>
              </w:rPr>
              <w:t>.</w:t>
            </w:r>
          </w:p>
        </w:tc>
        <w:tc>
          <w:tcPr>
            <w:tcW w:w="3087" w:type="dxa"/>
          </w:tcPr>
          <w:p w:rsidR="004561B8" w:rsidRPr="000E0370" w:rsidRDefault="001947C8" w:rsidP="000670D8">
            <w:pPr>
              <w:suppressAutoHyphens/>
              <w:spacing w:line="276" w:lineRule="auto"/>
              <w:jc w:val="both"/>
              <w:rPr>
                <w:rFonts w:ascii="Arial" w:hAnsi="Arial" w:cs="Arial"/>
                <w:iCs/>
                <w:color w:val="000000"/>
                <w:sz w:val="24"/>
                <w:szCs w:val="24"/>
                <w:lang w:eastAsia="es-CR"/>
              </w:rPr>
            </w:pPr>
            <w:r w:rsidRPr="000E0370">
              <w:rPr>
                <w:rFonts w:ascii="Arial" w:hAnsi="Arial" w:cs="Arial"/>
                <w:iCs/>
                <w:color w:val="000000"/>
                <w:sz w:val="24"/>
                <w:szCs w:val="24"/>
                <w:lang w:eastAsia="es-CR"/>
              </w:rPr>
              <w:t>Revisión de la legalidad y ajustes del Convenio e implicaciones que se generan para el Poder Judicial.</w:t>
            </w:r>
          </w:p>
        </w:tc>
        <w:tc>
          <w:tcPr>
            <w:tcW w:w="3150" w:type="dxa"/>
            <w:gridSpan w:val="2"/>
          </w:tcPr>
          <w:p w:rsidR="004561B8" w:rsidRPr="000E0370" w:rsidRDefault="001947C8" w:rsidP="000670D8">
            <w:pPr>
              <w:suppressAutoHyphens/>
              <w:spacing w:line="276" w:lineRule="auto"/>
              <w:jc w:val="both"/>
              <w:rPr>
                <w:rFonts w:ascii="Arial" w:hAnsi="Arial" w:cs="Arial"/>
                <w:iCs/>
                <w:color w:val="000000"/>
                <w:sz w:val="24"/>
                <w:szCs w:val="24"/>
                <w:lang w:eastAsia="es-CR"/>
              </w:rPr>
            </w:pPr>
            <w:r w:rsidRPr="000E0370">
              <w:rPr>
                <w:rFonts w:ascii="Arial" w:hAnsi="Arial" w:cs="Arial"/>
                <w:iCs/>
                <w:color w:val="000000"/>
                <w:sz w:val="24"/>
                <w:szCs w:val="24"/>
                <w:lang w:eastAsia="es-CR"/>
              </w:rPr>
              <w:t>Firma de convenio en el que se permite usar el cementerio Calvo de San José para la inhumación de cadáveres.</w:t>
            </w:r>
          </w:p>
        </w:tc>
      </w:tr>
      <w:tr w:rsidR="004561B8" w:rsidRPr="000E0370" w:rsidTr="004561B8">
        <w:tc>
          <w:tcPr>
            <w:tcW w:w="3087" w:type="dxa"/>
          </w:tcPr>
          <w:p w:rsidR="004561B8" w:rsidRPr="000E0370" w:rsidRDefault="007146F1" w:rsidP="000670D8">
            <w:pPr>
              <w:suppressAutoHyphens/>
              <w:spacing w:line="276" w:lineRule="auto"/>
              <w:jc w:val="both"/>
              <w:rPr>
                <w:rFonts w:ascii="Arial" w:hAnsi="Arial" w:cs="Arial"/>
                <w:b/>
                <w:sz w:val="24"/>
                <w:szCs w:val="24"/>
                <w:highlight w:val="yellow"/>
              </w:rPr>
            </w:pPr>
            <w:r w:rsidRPr="000E0370">
              <w:rPr>
                <w:rFonts w:ascii="Arial" w:hAnsi="Arial" w:cs="Arial"/>
                <w:b/>
                <w:iCs/>
                <w:color w:val="000000"/>
                <w:sz w:val="24"/>
                <w:szCs w:val="24"/>
                <w:lang w:eastAsia="es-CR"/>
              </w:rPr>
              <w:t>Convenio de Cooperación Interinstitucional para el Préstamo de Equipos Móviles (vehículos) con su Personal Operador, entre el Poder Judicial y el Tribunal Supremo de Elecciones en el Marco de los Actos Preparativos para las Elecciones Nacionales a celebrarse el 4 de febrero de 2018</w:t>
            </w:r>
          </w:p>
        </w:tc>
        <w:tc>
          <w:tcPr>
            <w:tcW w:w="3087" w:type="dxa"/>
          </w:tcPr>
          <w:p w:rsidR="004561B8" w:rsidRPr="000E0370" w:rsidRDefault="00F42C47" w:rsidP="000670D8">
            <w:pPr>
              <w:suppressAutoHyphens/>
              <w:spacing w:line="276" w:lineRule="auto"/>
              <w:jc w:val="both"/>
              <w:rPr>
                <w:rFonts w:ascii="Arial" w:hAnsi="Arial" w:cs="Arial"/>
                <w:iCs/>
                <w:color w:val="000000"/>
                <w:sz w:val="24"/>
                <w:szCs w:val="24"/>
                <w:lang w:eastAsia="es-CR"/>
              </w:rPr>
            </w:pPr>
            <w:r w:rsidRPr="000E0370">
              <w:rPr>
                <w:rFonts w:ascii="Arial" w:hAnsi="Arial" w:cs="Arial"/>
                <w:iCs/>
                <w:color w:val="000000"/>
                <w:sz w:val="24"/>
                <w:szCs w:val="24"/>
                <w:lang w:eastAsia="es-CR"/>
              </w:rPr>
              <w:t>Revisión de la legalidad y ajustes del C</w:t>
            </w:r>
            <w:r w:rsidR="004561B8" w:rsidRPr="000E0370">
              <w:rPr>
                <w:rFonts w:ascii="Arial" w:hAnsi="Arial" w:cs="Arial"/>
                <w:iCs/>
                <w:color w:val="000000"/>
                <w:sz w:val="24"/>
                <w:szCs w:val="24"/>
                <w:lang w:eastAsia="es-CR"/>
              </w:rPr>
              <w:t xml:space="preserve">onvenio Marco de Cooperación entre el Poder Judicial de Costa Rica y </w:t>
            </w:r>
            <w:r w:rsidR="009A657D" w:rsidRPr="000E0370">
              <w:rPr>
                <w:rFonts w:ascii="Arial" w:hAnsi="Arial" w:cs="Arial"/>
                <w:iCs/>
                <w:color w:val="000000"/>
                <w:sz w:val="24"/>
                <w:szCs w:val="24"/>
                <w:lang w:eastAsia="es-CR"/>
              </w:rPr>
              <w:t>el Tribunal Supremo de Elecciones con el fin de facilitar los vehículos requeridos para los actos de preparación de las próximas elecciones nacionales</w:t>
            </w:r>
            <w:r w:rsidRPr="000E0370">
              <w:rPr>
                <w:rFonts w:ascii="Arial" w:hAnsi="Arial" w:cs="Arial"/>
                <w:iCs/>
                <w:color w:val="000000"/>
                <w:sz w:val="24"/>
                <w:szCs w:val="24"/>
                <w:lang w:eastAsia="es-CR"/>
              </w:rPr>
              <w:t>.</w:t>
            </w:r>
          </w:p>
        </w:tc>
        <w:tc>
          <w:tcPr>
            <w:tcW w:w="3150" w:type="dxa"/>
            <w:gridSpan w:val="2"/>
          </w:tcPr>
          <w:p w:rsidR="004561B8" w:rsidRPr="000E0370" w:rsidRDefault="005525D6" w:rsidP="000670D8">
            <w:pPr>
              <w:suppressAutoHyphens/>
              <w:spacing w:line="276" w:lineRule="auto"/>
              <w:jc w:val="both"/>
              <w:rPr>
                <w:rFonts w:ascii="Arial" w:hAnsi="Arial" w:cs="Arial"/>
                <w:iCs/>
                <w:color w:val="000000"/>
                <w:sz w:val="24"/>
                <w:szCs w:val="24"/>
                <w:lang w:eastAsia="es-CR"/>
              </w:rPr>
            </w:pPr>
            <w:r w:rsidRPr="000E0370">
              <w:rPr>
                <w:rFonts w:ascii="Arial" w:hAnsi="Arial" w:cs="Arial"/>
                <w:iCs/>
                <w:color w:val="000000"/>
                <w:sz w:val="24"/>
                <w:szCs w:val="24"/>
                <w:lang w:eastAsia="es-CR"/>
              </w:rPr>
              <w:t>Convenio firmado que busca una</w:t>
            </w:r>
            <w:r w:rsidR="009A657D" w:rsidRPr="000E0370">
              <w:rPr>
                <w:rFonts w:ascii="Arial" w:hAnsi="Arial" w:cs="Arial"/>
                <w:iCs/>
                <w:color w:val="000000"/>
                <w:sz w:val="24"/>
                <w:szCs w:val="24"/>
                <w:lang w:eastAsia="es-CR"/>
              </w:rPr>
              <w:t xml:space="preserve"> cooperación entre las</w:t>
            </w:r>
            <w:r w:rsidRPr="000E0370">
              <w:rPr>
                <w:rFonts w:ascii="Arial" w:hAnsi="Arial" w:cs="Arial"/>
                <w:iCs/>
                <w:color w:val="000000"/>
                <w:sz w:val="24"/>
                <w:szCs w:val="24"/>
                <w:lang w:eastAsia="es-CR"/>
              </w:rPr>
              <w:t xml:space="preserve"> instituciones.</w:t>
            </w:r>
            <w:r w:rsidR="009A657D" w:rsidRPr="000E0370">
              <w:rPr>
                <w:rFonts w:ascii="Arial" w:hAnsi="Arial" w:cs="Arial"/>
                <w:iCs/>
                <w:color w:val="000000"/>
                <w:sz w:val="24"/>
                <w:szCs w:val="24"/>
                <w:lang w:eastAsia="es-CR"/>
              </w:rPr>
              <w:t xml:space="preserve"> </w:t>
            </w:r>
          </w:p>
        </w:tc>
      </w:tr>
      <w:tr w:rsidR="007146F1" w:rsidRPr="000E0370" w:rsidTr="002E1C0C">
        <w:trPr>
          <w:trHeight w:val="2562"/>
        </w:trPr>
        <w:tc>
          <w:tcPr>
            <w:tcW w:w="3087" w:type="dxa"/>
          </w:tcPr>
          <w:p w:rsidR="007146F1" w:rsidRPr="000E0370" w:rsidRDefault="007146F1" w:rsidP="000670D8">
            <w:pPr>
              <w:spacing w:line="276" w:lineRule="auto"/>
              <w:jc w:val="both"/>
              <w:rPr>
                <w:rFonts w:ascii="Arial" w:hAnsi="Arial" w:cs="Arial"/>
                <w:b/>
                <w:color w:val="212121"/>
                <w:sz w:val="24"/>
                <w:szCs w:val="24"/>
                <w:lang w:eastAsia="es-CR"/>
              </w:rPr>
            </w:pPr>
            <w:r w:rsidRPr="000E0370">
              <w:rPr>
                <w:rFonts w:ascii="Arial" w:hAnsi="Arial" w:cs="Arial"/>
                <w:b/>
                <w:iCs/>
                <w:color w:val="000000"/>
                <w:sz w:val="24"/>
                <w:szCs w:val="24"/>
                <w:lang w:eastAsia="es-CR"/>
              </w:rPr>
              <w:t>Convenio Marco de Cooperación Interinstitucional</w:t>
            </w:r>
            <w:r w:rsidR="002E1C0C" w:rsidRPr="000E0370">
              <w:rPr>
                <w:rFonts w:ascii="Arial" w:hAnsi="Arial" w:cs="Arial"/>
                <w:b/>
                <w:iCs/>
                <w:color w:val="000000"/>
                <w:sz w:val="24"/>
                <w:szCs w:val="24"/>
                <w:lang w:eastAsia="es-CR"/>
              </w:rPr>
              <w:t xml:space="preserve"> entre el Poder Judicial y la Universidad Escuela Libre de Derecho</w:t>
            </w:r>
          </w:p>
        </w:tc>
        <w:tc>
          <w:tcPr>
            <w:tcW w:w="3087" w:type="dxa"/>
          </w:tcPr>
          <w:p w:rsidR="007146F1" w:rsidRPr="000E0370" w:rsidRDefault="007146F1" w:rsidP="000670D8">
            <w:pPr>
              <w:suppressAutoHyphens/>
              <w:spacing w:line="276" w:lineRule="auto"/>
              <w:jc w:val="both"/>
              <w:rPr>
                <w:rFonts w:ascii="Arial" w:hAnsi="Arial" w:cs="Arial"/>
                <w:iCs/>
                <w:color w:val="000000"/>
                <w:sz w:val="24"/>
                <w:szCs w:val="24"/>
                <w:lang w:eastAsia="es-CR"/>
              </w:rPr>
            </w:pPr>
            <w:r w:rsidRPr="000E0370">
              <w:rPr>
                <w:rFonts w:ascii="Arial" w:hAnsi="Arial" w:cs="Arial"/>
                <w:iCs/>
                <w:color w:val="000000"/>
                <w:sz w:val="24"/>
                <w:szCs w:val="24"/>
                <w:lang w:eastAsia="es-CR"/>
              </w:rPr>
              <w:t xml:space="preserve">Revisión del convenio de Cooperación Interinstitucional entre el Poder Judicial y la </w:t>
            </w:r>
            <w:r w:rsidR="00C55F36" w:rsidRPr="000E0370">
              <w:rPr>
                <w:rFonts w:ascii="Arial" w:hAnsi="Arial" w:cs="Arial"/>
                <w:iCs/>
                <w:color w:val="000000"/>
                <w:sz w:val="24"/>
                <w:szCs w:val="24"/>
                <w:lang w:eastAsia="es-CR"/>
              </w:rPr>
              <w:t>Universidad Escuela Libre de Derecho.</w:t>
            </w:r>
          </w:p>
        </w:tc>
        <w:tc>
          <w:tcPr>
            <w:tcW w:w="3150" w:type="dxa"/>
            <w:gridSpan w:val="2"/>
          </w:tcPr>
          <w:p w:rsidR="007146F1" w:rsidRPr="000E0370" w:rsidRDefault="007146F1" w:rsidP="000670D8">
            <w:pPr>
              <w:suppressAutoHyphens/>
              <w:spacing w:line="276" w:lineRule="auto"/>
              <w:jc w:val="both"/>
              <w:rPr>
                <w:rFonts w:ascii="Arial" w:hAnsi="Arial" w:cs="Arial"/>
                <w:iCs/>
                <w:color w:val="000000"/>
                <w:sz w:val="24"/>
                <w:szCs w:val="24"/>
                <w:lang w:eastAsia="es-CR"/>
              </w:rPr>
            </w:pPr>
            <w:r w:rsidRPr="000E0370">
              <w:rPr>
                <w:rFonts w:ascii="Arial" w:hAnsi="Arial" w:cs="Arial"/>
                <w:iCs/>
                <w:color w:val="000000"/>
                <w:sz w:val="24"/>
                <w:szCs w:val="24"/>
                <w:lang w:eastAsia="es-CR"/>
              </w:rPr>
              <w:t xml:space="preserve">Mejorar </w:t>
            </w:r>
            <w:r w:rsidR="00C55F36" w:rsidRPr="000E0370">
              <w:rPr>
                <w:rFonts w:ascii="Arial" w:hAnsi="Arial" w:cs="Arial"/>
                <w:iCs/>
                <w:color w:val="000000"/>
                <w:sz w:val="24"/>
                <w:szCs w:val="24"/>
                <w:lang w:eastAsia="es-CR"/>
              </w:rPr>
              <w:t>la formación académica para personas que deseen incorporarse al Sistema de Carrera Judicial.</w:t>
            </w:r>
          </w:p>
        </w:tc>
      </w:tr>
      <w:tr w:rsidR="007146F1" w:rsidRPr="000E0370" w:rsidTr="004561B8">
        <w:tc>
          <w:tcPr>
            <w:tcW w:w="3087" w:type="dxa"/>
          </w:tcPr>
          <w:p w:rsidR="007146F1" w:rsidRPr="000E0370" w:rsidRDefault="002E1C0C" w:rsidP="000670D8">
            <w:pPr>
              <w:spacing w:line="276" w:lineRule="auto"/>
              <w:jc w:val="both"/>
              <w:rPr>
                <w:rFonts w:ascii="Arial" w:hAnsi="Arial" w:cs="Arial"/>
                <w:b/>
                <w:color w:val="212121"/>
                <w:sz w:val="24"/>
                <w:szCs w:val="24"/>
                <w:lang w:eastAsia="es-CR"/>
              </w:rPr>
            </w:pPr>
            <w:r w:rsidRPr="000E0370">
              <w:rPr>
                <w:rFonts w:ascii="Arial" w:hAnsi="Arial" w:cs="Arial"/>
                <w:b/>
                <w:iCs/>
                <w:color w:val="000000"/>
                <w:sz w:val="24"/>
                <w:szCs w:val="24"/>
                <w:lang w:eastAsia="es-CR"/>
              </w:rPr>
              <w:t>Convenio para la utilización de la Plataforma de Servicios Institucional (PSI), para el Sector Público entre el Tribunal Supremo de Elecciones y Poder Judicial</w:t>
            </w:r>
          </w:p>
        </w:tc>
        <w:tc>
          <w:tcPr>
            <w:tcW w:w="3087" w:type="dxa"/>
          </w:tcPr>
          <w:p w:rsidR="007146F1" w:rsidRPr="000E0370" w:rsidRDefault="00B45986" w:rsidP="000670D8">
            <w:pPr>
              <w:suppressAutoHyphens/>
              <w:spacing w:line="276" w:lineRule="auto"/>
              <w:jc w:val="both"/>
              <w:rPr>
                <w:rFonts w:ascii="Arial" w:hAnsi="Arial" w:cs="Arial"/>
                <w:iCs/>
                <w:color w:val="000000"/>
                <w:sz w:val="24"/>
                <w:szCs w:val="24"/>
                <w:lang w:eastAsia="es-CR"/>
              </w:rPr>
            </w:pPr>
            <w:r w:rsidRPr="000E0370">
              <w:rPr>
                <w:rFonts w:ascii="Arial" w:hAnsi="Arial" w:cs="Arial"/>
                <w:iCs/>
                <w:color w:val="000000"/>
                <w:sz w:val="24"/>
                <w:szCs w:val="24"/>
                <w:lang w:eastAsia="es-CR"/>
              </w:rPr>
              <w:t>Revisión de convenio entre el Tribunal Supremo de Elecciones y el Poder Judicial en la utilización de de la Plataforma de Servicios Institucional.</w:t>
            </w:r>
          </w:p>
        </w:tc>
        <w:tc>
          <w:tcPr>
            <w:tcW w:w="3150" w:type="dxa"/>
            <w:gridSpan w:val="2"/>
          </w:tcPr>
          <w:p w:rsidR="007146F1" w:rsidRPr="000E0370" w:rsidRDefault="00437DA5" w:rsidP="000670D8">
            <w:pPr>
              <w:suppressAutoHyphens/>
              <w:spacing w:line="276" w:lineRule="auto"/>
              <w:jc w:val="both"/>
              <w:rPr>
                <w:rFonts w:ascii="Arial" w:hAnsi="Arial" w:cs="Arial"/>
                <w:iCs/>
                <w:color w:val="000000"/>
                <w:sz w:val="24"/>
                <w:szCs w:val="24"/>
                <w:lang w:eastAsia="es-CR"/>
              </w:rPr>
            </w:pPr>
            <w:r w:rsidRPr="000E0370">
              <w:rPr>
                <w:rFonts w:ascii="Arial" w:hAnsi="Arial" w:cs="Arial"/>
                <w:iCs/>
                <w:color w:val="000000"/>
                <w:sz w:val="24"/>
                <w:szCs w:val="24"/>
                <w:lang w:eastAsia="es-CR"/>
              </w:rPr>
              <w:t>Convenio realizado y enviado para su respectivo trámite.</w:t>
            </w:r>
          </w:p>
        </w:tc>
      </w:tr>
      <w:tr w:rsidR="007146F1" w:rsidRPr="000E0370" w:rsidTr="004561B8">
        <w:tc>
          <w:tcPr>
            <w:tcW w:w="3087" w:type="dxa"/>
          </w:tcPr>
          <w:p w:rsidR="007146F1" w:rsidRPr="000E0370" w:rsidRDefault="002E1C0C" w:rsidP="000670D8">
            <w:pPr>
              <w:suppressAutoHyphens/>
              <w:spacing w:line="276" w:lineRule="auto"/>
              <w:jc w:val="both"/>
              <w:rPr>
                <w:rFonts w:ascii="Arial" w:hAnsi="Arial" w:cs="Arial"/>
                <w:b/>
                <w:sz w:val="24"/>
                <w:szCs w:val="24"/>
                <w:highlight w:val="yellow"/>
              </w:rPr>
            </w:pPr>
            <w:r w:rsidRPr="000E0370">
              <w:rPr>
                <w:rFonts w:ascii="Arial" w:hAnsi="Arial" w:cs="Arial"/>
                <w:b/>
                <w:color w:val="000000"/>
                <w:sz w:val="24"/>
                <w:szCs w:val="24"/>
                <w:lang w:eastAsia="es-CR"/>
              </w:rPr>
              <w:t>Procedimiento administrativo sancionatorio seguido contra la empresa </w:t>
            </w:r>
            <w:r w:rsidRPr="000E0370">
              <w:rPr>
                <w:rFonts w:ascii="Arial" w:hAnsi="Arial" w:cs="Arial"/>
                <w:b/>
                <w:bCs/>
                <w:color w:val="000000"/>
                <w:sz w:val="24"/>
                <w:szCs w:val="24"/>
                <w:lang w:eastAsia="es-CR"/>
              </w:rPr>
              <w:t>MULTISA S.A.</w:t>
            </w:r>
          </w:p>
        </w:tc>
        <w:tc>
          <w:tcPr>
            <w:tcW w:w="3087" w:type="dxa"/>
          </w:tcPr>
          <w:p w:rsidR="007146F1" w:rsidRPr="000E0370" w:rsidRDefault="00227295" w:rsidP="000670D8">
            <w:pPr>
              <w:suppressAutoHyphens/>
              <w:spacing w:line="276" w:lineRule="auto"/>
              <w:jc w:val="both"/>
              <w:rPr>
                <w:rFonts w:ascii="Arial" w:hAnsi="Arial" w:cs="Arial"/>
                <w:iCs/>
                <w:color w:val="000000"/>
                <w:sz w:val="24"/>
                <w:szCs w:val="24"/>
                <w:lang w:eastAsia="es-CR"/>
              </w:rPr>
            </w:pPr>
            <w:r w:rsidRPr="000E0370">
              <w:rPr>
                <w:rFonts w:ascii="Arial" w:hAnsi="Arial" w:cs="Arial"/>
                <w:iCs/>
                <w:color w:val="000000"/>
                <w:sz w:val="24"/>
                <w:szCs w:val="24"/>
                <w:lang w:eastAsia="es-CR"/>
              </w:rPr>
              <w:t>Brindar la asesoría jurídica necesaria en relación al proceso sancionatorio y la finalización del Convenio de con la empresa MULTISA S.A.</w:t>
            </w:r>
          </w:p>
        </w:tc>
        <w:tc>
          <w:tcPr>
            <w:tcW w:w="3150" w:type="dxa"/>
            <w:gridSpan w:val="2"/>
          </w:tcPr>
          <w:p w:rsidR="007146F1" w:rsidRPr="000E0370" w:rsidRDefault="00437DA5" w:rsidP="000670D8">
            <w:pPr>
              <w:suppressAutoHyphens/>
              <w:spacing w:line="276" w:lineRule="auto"/>
              <w:jc w:val="both"/>
              <w:rPr>
                <w:rFonts w:ascii="Arial" w:hAnsi="Arial" w:cs="Arial"/>
                <w:iCs/>
                <w:color w:val="000000"/>
                <w:sz w:val="24"/>
                <w:szCs w:val="24"/>
                <w:lang w:eastAsia="es-CR"/>
              </w:rPr>
            </w:pPr>
            <w:r w:rsidRPr="000E0370">
              <w:rPr>
                <w:rFonts w:ascii="Arial" w:hAnsi="Arial" w:cs="Arial"/>
                <w:iCs/>
                <w:color w:val="000000"/>
                <w:sz w:val="24"/>
                <w:szCs w:val="24"/>
                <w:lang w:eastAsia="es-CR"/>
              </w:rPr>
              <w:t>Resolución del Contrato con</w:t>
            </w:r>
            <w:r w:rsidR="00227295" w:rsidRPr="000E0370">
              <w:rPr>
                <w:rFonts w:ascii="Arial" w:hAnsi="Arial" w:cs="Arial"/>
                <w:iCs/>
                <w:color w:val="000000"/>
                <w:sz w:val="24"/>
                <w:szCs w:val="24"/>
                <w:lang w:eastAsia="es-CR"/>
              </w:rPr>
              <w:t xml:space="preserve"> la empresa MULTISA S.A por incumplimiento contractual.</w:t>
            </w:r>
          </w:p>
        </w:tc>
      </w:tr>
      <w:tr w:rsidR="007146F1" w:rsidRPr="000E0370" w:rsidTr="004561B8">
        <w:tc>
          <w:tcPr>
            <w:tcW w:w="3087" w:type="dxa"/>
          </w:tcPr>
          <w:p w:rsidR="007146F1" w:rsidRPr="000E0370" w:rsidRDefault="002E1C0C" w:rsidP="000670D8">
            <w:pPr>
              <w:suppressAutoHyphens/>
              <w:spacing w:line="276" w:lineRule="auto"/>
              <w:jc w:val="both"/>
              <w:rPr>
                <w:rFonts w:ascii="Arial" w:hAnsi="Arial" w:cs="Arial"/>
                <w:b/>
                <w:sz w:val="24"/>
                <w:szCs w:val="24"/>
                <w:highlight w:val="yellow"/>
              </w:rPr>
            </w:pPr>
            <w:r w:rsidRPr="000E0370">
              <w:rPr>
                <w:rFonts w:ascii="Arial" w:hAnsi="Arial" w:cs="Arial"/>
                <w:b/>
                <w:color w:val="000000"/>
                <w:sz w:val="24"/>
                <w:szCs w:val="24"/>
                <w:lang w:eastAsia="es-CR"/>
              </w:rPr>
              <w:t>Convenio de alimentación de línea privada entre el Poder Judicial y el Instituto Costarricense de Electricidad</w:t>
            </w:r>
            <w:r w:rsidR="00227295" w:rsidRPr="000E0370">
              <w:rPr>
                <w:rFonts w:ascii="Arial" w:hAnsi="Arial" w:cs="Arial"/>
                <w:b/>
                <w:color w:val="000000"/>
                <w:sz w:val="24"/>
                <w:szCs w:val="24"/>
                <w:lang w:eastAsia="es-CR"/>
              </w:rPr>
              <w:t>.</w:t>
            </w:r>
          </w:p>
        </w:tc>
        <w:tc>
          <w:tcPr>
            <w:tcW w:w="3087" w:type="dxa"/>
          </w:tcPr>
          <w:p w:rsidR="007146F1" w:rsidRPr="000E0370" w:rsidRDefault="00227295" w:rsidP="000670D8">
            <w:pPr>
              <w:suppressAutoHyphens/>
              <w:spacing w:line="276" w:lineRule="auto"/>
              <w:jc w:val="both"/>
              <w:rPr>
                <w:rFonts w:ascii="Arial" w:hAnsi="Arial" w:cs="Arial"/>
                <w:iCs/>
                <w:color w:val="000000"/>
                <w:sz w:val="24"/>
                <w:szCs w:val="24"/>
                <w:lang w:eastAsia="es-CR"/>
              </w:rPr>
            </w:pPr>
            <w:r w:rsidRPr="000E0370">
              <w:rPr>
                <w:rFonts w:ascii="Arial" w:hAnsi="Arial" w:cs="Arial"/>
                <w:iCs/>
                <w:color w:val="000000"/>
                <w:sz w:val="24"/>
                <w:szCs w:val="24"/>
                <w:lang w:eastAsia="es-CR"/>
              </w:rPr>
              <w:t>Revisión del convenio de Cooperación Interinstitucional entre el Poder Judicial y el Instituto Costarricense de Electricidad.</w:t>
            </w:r>
          </w:p>
        </w:tc>
        <w:tc>
          <w:tcPr>
            <w:tcW w:w="3150" w:type="dxa"/>
            <w:gridSpan w:val="2"/>
          </w:tcPr>
          <w:p w:rsidR="007146F1" w:rsidRPr="000E0370" w:rsidRDefault="00227295" w:rsidP="000670D8">
            <w:pPr>
              <w:spacing w:line="276" w:lineRule="auto"/>
              <w:jc w:val="both"/>
              <w:rPr>
                <w:rFonts w:ascii="Arial" w:hAnsi="Arial" w:cs="Arial"/>
                <w:iCs/>
                <w:color w:val="000000"/>
                <w:sz w:val="24"/>
                <w:szCs w:val="24"/>
                <w:lang w:eastAsia="es-CR"/>
              </w:rPr>
            </w:pPr>
            <w:r w:rsidRPr="000E0370">
              <w:rPr>
                <w:rFonts w:ascii="Arial" w:hAnsi="Arial" w:cs="Arial"/>
                <w:iCs/>
                <w:color w:val="000000"/>
                <w:sz w:val="24"/>
                <w:szCs w:val="24"/>
                <w:lang w:eastAsia="es-CR"/>
              </w:rPr>
              <w:t>Firma del convenio de cooperación entre las dos instituciones mencionadas.</w:t>
            </w:r>
          </w:p>
          <w:p w:rsidR="007146F1" w:rsidRDefault="007146F1" w:rsidP="000670D8">
            <w:pPr>
              <w:suppressAutoHyphens/>
              <w:spacing w:line="276" w:lineRule="auto"/>
              <w:jc w:val="both"/>
              <w:rPr>
                <w:rFonts w:ascii="Arial" w:hAnsi="Arial" w:cs="Arial"/>
                <w:iCs/>
                <w:color w:val="000000"/>
                <w:sz w:val="24"/>
                <w:szCs w:val="24"/>
                <w:lang w:eastAsia="es-CR"/>
              </w:rPr>
            </w:pPr>
          </w:p>
          <w:p w:rsidR="000E0370" w:rsidRDefault="000E0370" w:rsidP="000670D8">
            <w:pPr>
              <w:suppressAutoHyphens/>
              <w:spacing w:line="276" w:lineRule="auto"/>
              <w:jc w:val="both"/>
              <w:rPr>
                <w:rFonts w:ascii="Arial" w:hAnsi="Arial" w:cs="Arial"/>
                <w:iCs/>
                <w:color w:val="000000"/>
                <w:sz w:val="24"/>
                <w:szCs w:val="24"/>
                <w:lang w:eastAsia="es-CR"/>
              </w:rPr>
            </w:pPr>
          </w:p>
          <w:p w:rsidR="000E0370" w:rsidRPr="000E0370" w:rsidRDefault="000E0370" w:rsidP="000670D8">
            <w:pPr>
              <w:suppressAutoHyphens/>
              <w:spacing w:line="276" w:lineRule="auto"/>
              <w:jc w:val="both"/>
              <w:rPr>
                <w:rFonts w:ascii="Arial" w:hAnsi="Arial" w:cs="Arial"/>
                <w:iCs/>
                <w:color w:val="000000"/>
                <w:sz w:val="24"/>
                <w:szCs w:val="24"/>
                <w:lang w:eastAsia="es-CR"/>
              </w:rPr>
            </w:pPr>
          </w:p>
        </w:tc>
      </w:tr>
      <w:tr w:rsidR="000E0370" w:rsidRPr="000E0370" w:rsidTr="004561B8">
        <w:tc>
          <w:tcPr>
            <w:tcW w:w="3087" w:type="dxa"/>
          </w:tcPr>
          <w:p w:rsidR="000E0370" w:rsidRPr="000E0370" w:rsidRDefault="000E0370" w:rsidP="000670D8">
            <w:pPr>
              <w:suppressAutoHyphens/>
              <w:spacing w:line="276" w:lineRule="auto"/>
              <w:jc w:val="both"/>
              <w:rPr>
                <w:rFonts w:ascii="Arial" w:hAnsi="Arial" w:cs="Arial"/>
                <w:b/>
                <w:color w:val="000000"/>
                <w:sz w:val="24"/>
                <w:szCs w:val="24"/>
                <w:lang w:eastAsia="es-CR"/>
              </w:rPr>
            </w:pPr>
          </w:p>
        </w:tc>
        <w:tc>
          <w:tcPr>
            <w:tcW w:w="3087" w:type="dxa"/>
          </w:tcPr>
          <w:p w:rsidR="000E0370" w:rsidRPr="000E0370" w:rsidRDefault="000E0370" w:rsidP="000670D8">
            <w:pPr>
              <w:suppressAutoHyphens/>
              <w:spacing w:line="276" w:lineRule="auto"/>
              <w:jc w:val="both"/>
              <w:rPr>
                <w:rFonts w:ascii="Arial" w:hAnsi="Arial" w:cs="Arial"/>
                <w:iCs/>
                <w:color w:val="000000"/>
                <w:sz w:val="24"/>
                <w:szCs w:val="24"/>
                <w:lang w:eastAsia="es-CR"/>
              </w:rPr>
            </w:pPr>
          </w:p>
        </w:tc>
        <w:tc>
          <w:tcPr>
            <w:tcW w:w="3150" w:type="dxa"/>
            <w:gridSpan w:val="2"/>
          </w:tcPr>
          <w:p w:rsidR="000E0370" w:rsidRPr="000E0370" w:rsidRDefault="000E0370" w:rsidP="000670D8">
            <w:pPr>
              <w:spacing w:line="276" w:lineRule="auto"/>
              <w:jc w:val="both"/>
              <w:rPr>
                <w:rFonts w:ascii="Arial" w:hAnsi="Arial" w:cs="Arial"/>
                <w:iCs/>
                <w:color w:val="000000"/>
                <w:sz w:val="24"/>
                <w:szCs w:val="24"/>
                <w:lang w:eastAsia="es-CR"/>
              </w:rPr>
            </w:pPr>
          </w:p>
        </w:tc>
      </w:tr>
    </w:tbl>
    <w:tbl>
      <w:tblPr>
        <w:tblpPr w:leftFromText="141" w:rightFromText="141"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3118"/>
      </w:tblGrid>
      <w:tr w:rsidR="005F5028" w:rsidRPr="000E0370" w:rsidTr="000E0370">
        <w:trPr>
          <w:trHeight w:val="361"/>
        </w:trPr>
        <w:tc>
          <w:tcPr>
            <w:tcW w:w="3085" w:type="dxa"/>
            <w:shd w:val="clear" w:color="auto" w:fill="auto"/>
          </w:tcPr>
          <w:p w:rsidR="00C277FA" w:rsidRPr="000E0370" w:rsidRDefault="00077B5A"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Tramitar con mayor agilidad y por medio de los recursos correspondientes las causas de Cobro Administrativo.</w:t>
            </w:r>
          </w:p>
        </w:tc>
        <w:tc>
          <w:tcPr>
            <w:tcW w:w="3119" w:type="dxa"/>
            <w:shd w:val="clear" w:color="auto" w:fill="auto"/>
          </w:tcPr>
          <w:p w:rsidR="00077B5A" w:rsidRPr="000E0370" w:rsidRDefault="00077B5A"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Que a través de la adaptación y utilización del Sistema de Gestión en Línea y Escritorio Virtual sean tramitadas las causas correspondientes al Área de Cobro Administrativo</w:t>
            </w:r>
          </w:p>
          <w:p w:rsidR="00C277FA" w:rsidRPr="000E0370" w:rsidRDefault="00C277FA" w:rsidP="000670D8">
            <w:pPr>
              <w:suppressAutoHyphens/>
              <w:spacing w:line="276" w:lineRule="auto"/>
              <w:jc w:val="both"/>
              <w:rPr>
                <w:rFonts w:ascii="Arial" w:hAnsi="Arial" w:cs="Arial"/>
                <w:color w:val="000000"/>
                <w:sz w:val="24"/>
                <w:szCs w:val="24"/>
                <w:lang w:eastAsia="es-CR"/>
              </w:rPr>
            </w:pPr>
          </w:p>
        </w:tc>
        <w:tc>
          <w:tcPr>
            <w:tcW w:w="3118" w:type="dxa"/>
            <w:shd w:val="clear" w:color="auto" w:fill="auto"/>
          </w:tcPr>
          <w:p w:rsidR="006066F1" w:rsidRPr="000E0370" w:rsidRDefault="006066F1"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Contribuir y reforzar la política de cero papel</w:t>
            </w:r>
          </w:p>
          <w:p w:rsidR="006066F1" w:rsidRPr="000E0370" w:rsidRDefault="006066F1"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Aprovechar las facilidades tecnológicas de acceso a la información por parte de los usuarios internos y externos</w:t>
            </w:r>
          </w:p>
          <w:p w:rsidR="005F5028" w:rsidRPr="000E0370" w:rsidRDefault="005F5028" w:rsidP="000670D8">
            <w:pPr>
              <w:suppressAutoHyphens/>
              <w:spacing w:line="276" w:lineRule="auto"/>
              <w:jc w:val="both"/>
              <w:rPr>
                <w:rFonts w:ascii="Arial" w:hAnsi="Arial" w:cs="Arial"/>
                <w:color w:val="000000"/>
                <w:sz w:val="24"/>
                <w:szCs w:val="24"/>
                <w:lang w:eastAsia="es-CR"/>
              </w:rPr>
            </w:pPr>
          </w:p>
        </w:tc>
      </w:tr>
      <w:tr w:rsidR="00227295" w:rsidRPr="000E0370" w:rsidTr="000E0370">
        <w:trPr>
          <w:trHeight w:val="361"/>
        </w:trPr>
        <w:tc>
          <w:tcPr>
            <w:tcW w:w="3085" w:type="dxa"/>
            <w:shd w:val="clear" w:color="auto" w:fill="auto"/>
          </w:tcPr>
          <w:p w:rsidR="00227295" w:rsidRPr="000E0370" w:rsidRDefault="00095377"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Finalizar las causas en trámite correspondientes a la Dirección Ejecutiva dentro de los plazos legales establecidos.</w:t>
            </w:r>
          </w:p>
        </w:tc>
        <w:tc>
          <w:tcPr>
            <w:tcW w:w="3119" w:type="dxa"/>
            <w:shd w:val="clear" w:color="auto" w:fill="auto"/>
          </w:tcPr>
          <w:p w:rsidR="00227295" w:rsidRPr="000E0370" w:rsidRDefault="00095377"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Que la consolidación del Área de Cobro Administrativo dentro de la Dirección Jurídica permitan finalizar las causas en trámite correspondientes a la Dirección Ejecutiva dentro de los plazos legales establecidos.</w:t>
            </w:r>
          </w:p>
        </w:tc>
        <w:tc>
          <w:tcPr>
            <w:tcW w:w="3118" w:type="dxa"/>
            <w:shd w:val="clear" w:color="auto" w:fill="auto"/>
          </w:tcPr>
          <w:p w:rsidR="00227295" w:rsidRPr="000E0370" w:rsidRDefault="00095377"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Para el mes de febrero 2015, fecha de instauración de la Dirección Jurídica, el circulante de expedientes físicos de la Dirección Ejecutiva era de 1616 expedientes, un corte posterior a octubre 2015 arroja el total de 941 expedientes.  Ya para junio de 2016 el circulante se redujo a 671 expedientes y el cierre a noviembre de 2016 es de 455 expedientes, para un total de causas archivadas de 1161. Para noviembre del 2017 el número de causas activas es de 243, reduciéndose cada vez más de manera satisfactoria.</w:t>
            </w:r>
          </w:p>
        </w:tc>
      </w:tr>
      <w:tr w:rsidR="00227295" w:rsidRPr="000E0370" w:rsidTr="000E0370">
        <w:trPr>
          <w:trHeight w:val="361"/>
        </w:trPr>
        <w:tc>
          <w:tcPr>
            <w:tcW w:w="3085" w:type="dxa"/>
            <w:shd w:val="clear" w:color="auto" w:fill="auto"/>
          </w:tcPr>
          <w:p w:rsidR="00227295" w:rsidRPr="000E0370" w:rsidRDefault="00095377"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Recaudación de cuentas por cobrar</w:t>
            </w:r>
          </w:p>
        </w:tc>
        <w:tc>
          <w:tcPr>
            <w:tcW w:w="3119" w:type="dxa"/>
            <w:shd w:val="clear" w:color="auto" w:fill="auto"/>
          </w:tcPr>
          <w:p w:rsidR="00227295" w:rsidRPr="000E0370" w:rsidRDefault="00262B47"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Recaudar</w:t>
            </w:r>
            <w:r w:rsidR="00095377" w:rsidRPr="000E0370">
              <w:rPr>
                <w:rFonts w:ascii="Arial" w:hAnsi="Arial" w:cs="Arial"/>
                <w:color w:val="000000"/>
                <w:sz w:val="24"/>
                <w:szCs w:val="24"/>
                <w:lang w:eastAsia="es-CR"/>
              </w:rPr>
              <w:t xml:space="preserve"> la mayor cantidad posible de dineros pendientes de recuperar por concepto de deudas y arreglos de pago pendientes.</w:t>
            </w:r>
          </w:p>
        </w:tc>
        <w:tc>
          <w:tcPr>
            <w:tcW w:w="3118" w:type="dxa"/>
            <w:shd w:val="clear" w:color="auto" w:fill="auto"/>
          </w:tcPr>
          <w:p w:rsidR="00095377" w:rsidRPr="000E0370" w:rsidRDefault="00FC5381"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Estos dineros se verán reflejados en los próximos informes por parte del Financiero Contable.</w:t>
            </w:r>
          </w:p>
          <w:p w:rsidR="00227295" w:rsidRPr="000E0370" w:rsidRDefault="00227295" w:rsidP="000670D8">
            <w:pPr>
              <w:suppressAutoHyphens/>
              <w:spacing w:line="276" w:lineRule="auto"/>
              <w:jc w:val="both"/>
              <w:rPr>
                <w:rFonts w:ascii="Arial" w:hAnsi="Arial" w:cs="Arial"/>
                <w:color w:val="000000"/>
                <w:sz w:val="24"/>
                <w:szCs w:val="24"/>
                <w:lang w:eastAsia="es-CR"/>
              </w:rPr>
            </w:pPr>
          </w:p>
        </w:tc>
      </w:tr>
      <w:tr w:rsidR="00227295" w:rsidRPr="000E0370" w:rsidTr="000E0370">
        <w:trPr>
          <w:trHeight w:val="361"/>
        </w:trPr>
        <w:tc>
          <w:tcPr>
            <w:tcW w:w="3085" w:type="dxa"/>
            <w:shd w:val="clear" w:color="auto" w:fill="auto"/>
          </w:tcPr>
          <w:p w:rsidR="00227295" w:rsidRPr="000E0370" w:rsidRDefault="00262B47"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Dar trámite correspondiente a las causas activas de Cobro Administrativo.</w:t>
            </w:r>
          </w:p>
        </w:tc>
        <w:tc>
          <w:tcPr>
            <w:tcW w:w="3119" w:type="dxa"/>
            <w:shd w:val="clear" w:color="auto" w:fill="auto"/>
          </w:tcPr>
          <w:p w:rsidR="00227295" w:rsidRPr="000E0370" w:rsidRDefault="00262B47"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xml:space="preserve">Reducir el número de expedientes activos </w:t>
            </w:r>
            <w:r w:rsidR="005C16D8" w:rsidRPr="000E0370">
              <w:rPr>
                <w:rFonts w:ascii="Arial" w:hAnsi="Arial" w:cs="Arial"/>
                <w:color w:val="000000"/>
                <w:sz w:val="24"/>
                <w:szCs w:val="24"/>
                <w:lang w:eastAsia="es-CR"/>
              </w:rPr>
              <w:t>y cumplir de la manera más expedita posible con el trámite de cada causa administrativa con el fin de recaudar las sumas correspondientes.</w:t>
            </w:r>
          </w:p>
        </w:tc>
        <w:tc>
          <w:tcPr>
            <w:tcW w:w="3118" w:type="dxa"/>
            <w:shd w:val="clear" w:color="auto" w:fill="auto"/>
          </w:tcPr>
          <w:p w:rsidR="00227295" w:rsidRPr="000E0370" w:rsidRDefault="005C16D8"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Actualmente se cuenta con una suma de 2278 expedientes activos, si bien se ha hecho el esfuerzo de reducir el circulante, cada vez son más las causas que ingresan para el trámite respectivo.</w:t>
            </w:r>
          </w:p>
        </w:tc>
      </w:tr>
      <w:tr w:rsidR="00227295" w:rsidRPr="000E0370" w:rsidTr="000E0370">
        <w:trPr>
          <w:trHeight w:val="361"/>
        </w:trPr>
        <w:tc>
          <w:tcPr>
            <w:tcW w:w="3085" w:type="dxa"/>
            <w:shd w:val="clear" w:color="auto" w:fill="auto"/>
          </w:tcPr>
          <w:p w:rsidR="005C16D8" w:rsidRPr="000E0370" w:rsidRDefault="005C16D8"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 xml:space="preserve">- </w:t>
            </w:r>
            <w:r w:rsidR="00604764" w:rsidRPr="000E0370">
              <w:rPr>
                <w:rFonts w:ascii="Arial" w:hAnsi="Arial" w:cs="Arial"/>
                <w:b/>
                <w:color w:val="000000"/>
                <w:sz w:val="24"/>
                <w:szCs w:val="24"/>
                <w:lang w:eastAsia="es-CR"/>
              </w:rPr>
              <w:t>Tramitación</w:t>
            </w:r>
            <w:r w:rsidRPr="000E0370">
              <w:rPr>
                <w:rFonts w:ascii="Arial" w:hAnsi="Arial" w:cs="Arial"/>
                <w:b/>
                <w:color w:val="000000"/>
                <w:sz w:val="24"/>
                <w:szCs w:val="24"/>
                <w:lang w:eastAsia="es-CR"/>
              </w:rPr>
              <w:t xml:space="preserve"> de expedientes electrónicos en las causas disciplinarias seguidas a peritos, intérpretes, traductores, ejecutores y curadores.</w:t>
            </w:r>
          </w:p>
          <w:p w:rsidR="00227295" w:rsidRPr="000E0370" w:rsidRDefault="00227295" w:rsidP="000670D8">
            <w:pPr>
              <w:suppressAutoHyphens/>
              <w:spacing w:line="276" w:lineRule="auto"/>
              <w:jc w:val="both"/>
              <w:rPr>
                <w:rFonts w:ascii="Arial" w:hAnsi="Arial" w:cs="Arial"/>
                <w:b/>
                <w:color w:val="000000"/>
                <w:sz w:val="24"/>
                <w:szCs w:val="24"/>
                <w:lang w:eastAsia="es-CR"/>
              </w:rPr>
            </w:pPr>
          </w:p>
        </w:tc>
        <w:tc>
          <w:tcPr>
            <w:tcW w:w="3119" w:type="dxa"/>
            <w:shd w:val="clear" w:color="auto" w:fill="auto"/>
          </w:tcPr>
          <w:p w:rsidR="005C16D8" w:rsidRPr="000E0370" w:rsidRDefault="005C16D8"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xml:space="preserve">- Tramitación de las causas disciplinarias utilizando el Sistema de Gestión en Línea y Escritorio Virtual. </w:t>
            </w:r>
          </w:p>
          <w:p w:rsidR="00227295" w:rsidRPr="000E0370" w:rsidRDefault="00227295" w:rsidP="000670D8">
            <w:pPr>
              <w:suppressAutoHyphens/>
              <w:spacing w:line="276" w:lineRule="auto"/>
              <w:jc w:val="both"/>
              <w:rPr>
                <w:rFonts w:ascii="Arial" w:hAnsi="Arial" w:cs="Arial"/>
                <w:color w:val="000000"/>
                <w:sz w:val="24"/>
                <w:szCs w:val="24"/>
                <w:lang w:eastAsia="es-CR"/>
              </w:rPr>
            </w:pPr>
          </w:p>
        </w:tc>
        <w:tc>
          <w:tcPr>
            <w:tcW w:w="3118" w:type="dxa"/>
            <w:shd w:val="clear" w:color="auto" w:fill="auto"/>
          </w:tcPr>
          <w:p w:rsidR="005C16D8" w:rsidRPr="000E0370" w:rsidRDefault="005C16D8"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Colaborar con la política institucional de cero papel.</w:t>
            </w:r>
          </w:p>
          <w:p w:rsidR="005C16D8" w:rsidRPr="000E0370" w:rsidRDefault="005C16D8" w:rsidP="000670D8">
            <w:pPr>
              <w:suppressAutoHyphens/>
              <w:spacing w:line="276" w:lineRule="auto"/>
              <w:jc w:val="both"/>
              <w:rPr>
                <w:rFonts w:ascii="Arial" w:hAnsi="Arial" w:cs="Arial"/>
                <w:color w:val="000000"/>
                <w:sz w:val="24"/>
                <w:szCs w:val="24"/>
                <w:lang w:eastAsia="es-CR"/>
              </w:rPr>
            </w:pPr>
          </w:p>
          <w:p w:rsidR="005C16D8" w:rsidRPr="000E0370" w:rsidRDefault="005C16D8"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Utilizar los medios tecnológicos para brindar mayores facilidades de acceso a la información a los usuarios internos y externos.</w:t>
            </w:r>
          </w:p>
          <w:p w:rsidR="00227295" w:rsidRPr="000E0370" w:rsidRDefault="00227295" w:rsidP="000670D8">
            <w:pPr>
              <w:suppressAutoHyphens/>
              <w:spacing w:line="276" w:lineRule="auto"/>
              <w:jc w:val="both"/>
              <w:rPr>
                <w:rFonts w:ascii="Arial" w:hAnsi="Arial" w:cs="Arial"/>
                <w:color w:val="000000"/>
                <w:sz w:val="24"/>
                <w:szCs w:val="24"/>
                <w:lang w:eastAsia="es-CR"/>
              </w:rPr>
            </w:pPr>
          </w:p>
        </w:tc>
      </w:tr>
      <w:tr w:rsidR="00227295" w:rsidRPr="000E0370" w:rsidTr="000E0370">
        <w:trPr>
          <w:trHeight w:val="361"/>
        </w:trPr>
        <w:tc>
          <w:tcPr>
            <w:tcW w:w="3085" w:type="dxa"/>
            <w:shd w:val="clear" w:color="auto" w:fill="auto"/>
          </w:tcPr>
          <w:p w:rsidR="00227295" w:rsidRPr="000E0370" w:rsidRDefault="00604764"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Acompañamiento a la Procuraduría General de la República, en los asuntos judiciales en los que intervenga el Poder Judicial, ya sea como parte actora o como demandado.</w:t>
            </w:r>
          </w:p>
        </w:tc>
        <w:tc>
          <w:tcPr>
            <w:tcW w:w="3119" w:type="dxa"/>
            <w:shd w:val="clear" w:color="auto" w:fill="auto"/>
          </w:tcPr>
          <w:p w:rsidR="00604764" w:rsidRPr="000E0370" w:rsidRDefault="00604764"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-Resguardar los intereses institucionales y una procura de una mejor utilización de los recursos públicos.</w:t>
            </w:r>
          </w:p>
          <w:p w:rsidR="00227295" w:rsidRPr="000E0370" w:rsidRDefault="00227295" w:rsidP="000670D8">
            <w:pPr>
              <w:suppressAutoHyphens/>
              <w:spacing w:line="276" w:lineRule="auto"/>
              <w:jc w:val="both"/>
              <w:rPr>
                <w:rFonts w:ascii="Arial" w:hAnsi="Arial" w:cs="Arial"/>
                <w:color w:val="000000"/>
                <w:sz w:val="24"/>
                <w:szCs w:val="24"/>
                <w:lang w:eastAsia="es-CR"/>
              </w:rPr>
            </w:pPr>
          </w:p>
        </w:tc>
        <w:tc>
          <w:tcPr>
            <w:tcW w:w="3118" w:type="dxa"/>
            <w:shd w:val="clear" w:color="auto" w:fill="auto"/>
          </w:tcPr>
          <w:p w:rsidR="00227295" w:rsidRPr="000E0370" w:rsidRDefault="00604764"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ha logrado un acompañamiento más personalizado en los procesos judiciales, lo que ha permitido resultados más satisfactorios en relación con los intereses institucionales.</w:t>
            </w:r>
          </w:p>
        </w:tc>
      </w:tr>
      <w:tr w:rsidR="00227295" w:rsidRPr="000E0370" w:rsidTr="000E0370">
        <w:trPr>
          <w:trHeight w:val="361"/>
        </w:trPr>
        <w:tc>
          <w:tcPr>
            <w:tcW w:w="3085" w:type="dxa"/>
            <w:shd w:val="clear" w:color="auto" w:fill="auto"/>
          </w:tcPr>
          <w:p w:rsidR="00227295" w:rsidRPr="000E0370" w:rsidRDefault="00604764"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Atención de informes en Recursos de Amparo, Hábeas Corpus</w:t>
            </w:r>
            <w:r w:rsidR="00FF2602" w:rsidRPr="000E0370">
              <w:rPr>
                <w:rFonts w:ascii="Arial" w:hAnsi="Arial" w:cs="Arial"/>
                <w:b/>
                <w:color w:val="000000"/>
                <w:sz w:val="24"/>
                <w:szCs w:val="24"/>
                <w:lang w:eastAsia="es-CR"/>
              </w:rPr>
              <w:t xml:space="preserve"> y Acciones de Inconstitucionalidad que se interponen en contra del Poder Judicial.</w:t>
            </w:r>
          </w:p>
        </w:tc>
        <w:tc>
          <w:tcPr>
            <w:tcW w:w="3119" w:type="dxa"/>
            <w:shd w:val="clear" w:color="auto" w:fill="auto"/>
          </w:tcPr>
          <w:p w:rsidR="00227295" w:rsidRPr="000E0370" w:rsidRDefault="00A44A3F"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Rendir Informes para la contestación de Recursos de Amparo, Hábeas Corpus y Acciones de Inconstitucionalidad que se interpongan en contra del Poder Judicial.</w:t>
            </w:r>
          </w:p>
        </w:tc>
        <w:tc>
          <w:tcPr>
            <w:tcW w:w="3118" w:type="dxa"/>
            <w:shd w:val="clear" w:color="auto" w:fill="auto"/>
          </w:tcPr>
          <w:p w:rsidR="00227295" w:rsidRPr="000E0370" w:rsidRDefault="00A44A3F"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Atención de 46 Informes de Recursos de Amparo, 5 Informes de Hábeas Corpus y 2 Informes de Acciones de Inconstitucionalidad.</w:t>
            </w:r>
          </w:p>
        </w:tc>
      </w:tr>
      <w:tr w:rsidR="00227295" w:rsidRPr="000E0370" w:rsidTr="000E0370">
        <w:trPr>
          <w:trHeight w:val="361"/>
        </w:trPr>
        <w:tc>
          <w:tcPr>
            <w:tcW w:w="3085" w:type="dxa"/>
            <w:shd w:val="clear" w:color="auto" w:fill="auto"/>
          </w:tcPr>
          <w:p w:rsidR="00227295" w:rsidRPr="000E0370" w:rsidRDefault="00ED0B47"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Asesoría en Procedimientos Ordinarios Administrativos</w:t>
            </w:r>
          </w:p>
        </w:tc>
        <w:tc>
          <w:tcPr>
            <w:tcW w:w="3119" w:type="dxa"/>
            <w:shd w:val="clear" w:color="auto" w:fill="auto"/>
          </w:tcPr>
          <w:p w:rsidR="00227295" w:rsidRPr="000E0370" w:rsidRDefault="00A44A3F"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Asesoría en Procedimientos Ordinarios Administrativos, 2 procesos de nulidad evidente y manifiesta.</w:t>
            </w:r>
          </w:p>
        </w:tc>
        <w:tc>
          <w:tcPr>
            <w:tcW w:w="3118" w:type="dxa"/>
            <w:shd w:val="clear" w:color="auto" w:fill="auto"/>
          </w:tcPr>
          <w:p w:rsidR="00227295" w:rsidRPr="000E0370" w:rsidRDefault="00A44A3F"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Asesoría en las 2 causas que se encuentran en trámite.</w:t>
            </w:r>
          </w:p>
        </w:tc>
      </w:tr>
      <w:tr w:rsidR="00227295" w:rsidRPr="000E0370" w:rsidTr="000E0370">
        <w:trPr>
          <w:trHeight w:val="361"/>
        </w:trPr>
        <w:tc>
          <w:tcPr>
            <w:tcW w:w="3085" w:type="dxa"/>
            <w:shd w:val="clear" w:color="auto" w:fill="auto"/>
          </w:tcPr>
          <w:p w:rsidR="00227295" w:rsidRPr="000E0370" w:rsidRDefault="00ED0B47"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Informes sobre órdenes sanitarias</w:t>
            </w:r>
          </w:p>
        </w:tc>
        <w:tc>
          <w:tcPr>
            <w:tcW w:w="3119" w:type="dxa"/>
            <w:shd w:val="clear" w:color="auto" w:fill="auto"/>
          </w:tcPr>
          <w:p w:rsidR="00227295" w:rsidRPr="000E0370" w:rsidRDefault="00A44A3F"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Análisis y Asesoría en las Órdenes Sanitarias en las que forma parte el Poder Judicial.</w:t>
            </w:r>
          </w:p>
        </w:tc>
        <w:tc>
          <w:tcPr>
            <w:tcW w:w="3118" w:type="dxa"/>
            <w:shd w:val="clear" w:color="auto" w:fill="auto"/>
          </w:tcPr>
          <w:p w:rsidR="00227295" w:rsidRPr="000E0370" w:rsidRDefault="00A44A3F"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Velar por el correcto trámite de las Órdenes Sanitarias mencionadas.</w:t>
            </w:r>
          </w:p>
        </w:tc>
      </w:tr>
      <w:tr w:rsidR="00227295" w:rsidRPr="000E0370" w:rsidTr="000E0370">
        <w:trPr>
          <w:trHeight w:val="361"/>
        </w:trPr>
        <w:tc>
          <w:tcPr>
            <w:tcW w:w="3085" w:type="dxa"/>
            <w:shd w:val="clear" w:color="auto" w:fill="auto"/>
          </w:tcPr>
          <w:p w:rsidR="00227295" w:rsidRPr="000E0370" w:rsidRDefault="00ED0B47"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w:t>
            </w:r>
            <w:r w:rsidR="002E2D41" w:rsidRPr="000E0370">
              <w:rPr>
                <w:rFonts w:ascii="Arial" w:hAnsi="Arial" w:cs="Arial"/>
                <w:b/>
                <w:color w:val="000000"/>
                <w:sz w:val="24"/>
                <w:szCs w:val="24"/>
                <w:lang w:eastAsia="es-CR"/>
              </w:rPr>
              <w:t>personamientos ante el ministerio de trabajo caso mutiasa</w:t>
            </w:r>
          </w:p>
        </w:tc>
        <w:tc>
          <w:tcPr>
            <w:tcW w:w="3119" w:type="dxa"/>
            <w:shd w:val="clear" w:color="auto" w:fill="auto"/>
          </w:tcPr>
          <w:p w:rsidR="00227295" w:rsidRPr="000E0370" w:rsidRDefault="00A44A3F"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Asesoría sobre el trámite seguido por el Ministerio de Trabajo en contra de la Empresa MULTIASA, por incumplimiento contractual.</w:t>
            </w:r>
          </w:p>
        </w:tc>
        <w:tc>
          <w:tcPr>
            <w:tcW w:w="3118" w:type="dxa"/>
            <w:shd w:val="clear" w:color="auto" w:fill="auto"/>
          </w:tcPr>
          <w:p w:rsidR="00227295" w:rsidRPr="000E0370" w:rsidRDefault="00F767DD"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Causa en trámite, la Dirección Jurídica pretende acreditar que la responsabilidad civil corresponde únicamente a la empresa, ya que es está la que incumplió el contrato.</w:t>
            </w:r>
          </w:p>
        </w:tc>
      </w:tr>
      <w:tr w:rsidR="00227295" w:rsidRPr="000E0370" w:rsidTr="000E0370">
        <w:trPr>
          <w:trHeight w:val="361"/>
        </w:trPr>
        <w:tc>
          <w:tcPr>
            <w:tcW w:w="3085" w:type="dxa"/>
            <w:shd w:val="clear" w:color="auto" w:fill="auto"/>
          </w:tcPr>
          <w:p w:rsidR="00227295" w:rsidRPr="000E0370" w:rsidRDefault="00F767DD"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F</w:t>
            </w:r>
            <w:r w:rsidR="002E2D41" w:rsidRPr="000E0370">
              <w:rPr>
                <w:rFonts w:ascii="Arial" w:hAnsi="Arial" w:cs="Arial"/>
                <w:b/>
                <w:color w:val="000000"/>
                <w:sz w:val="24"/>
                <w:szCs w:val="24"/>
                <w:lang w:eastAsia="es-CR"/>
              </w:rPr>
              <w:t xml:space="preserve">ormulación de recursos ante distintos órganos del aparato estatal por distintas situaciones. </w:t>
            </w:r>
          </w:p>
        </w:tc>
        <w:tc>
          <w:tcPr>
            <w:tcW w:w="3119" w:type="dxa"/>
            <w:shd w:val="clear" w:color="auto" w:fill="auto"/>
          </w:tcPr>
          <w:p w:rsidR="002E2D41" w:rsidRPr="000E0370" w:rsidRDefault="00D75752"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Plantear r</w:t>
            </w:r>
            <w:r w:rsidR="002E2D41" w:rsidRPr="000E0370">
              <w:rPr>
                <w:rFonts w:ascii="Arial" w:hAnsi="Arial" w:cs="Arial"/>
                <w:color w:val="000000"/>
                <w:sz w:val="24"/>
                <w:szCs w:val="24"/>
                <w:lang w:eastAsia="es-CR"/>
              </w:rPr>
              <w:t>ecursos de Apelación y revocatoria ante el Ministerio de Hacienda por exoneración del impuesto sobre la renta en inversiones del fondo de jubilaciones y pensiones del poder judicial.</w:t>
            </w:r>
          </w:p>
          <w:p w:rsidR="00227295" w:rsidRPr="000E0370" w:rsidRDefault="002E2D41"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Y recursos de Revocatoria y Apelación ante la CCSS por pago de planillas.</w:t>
            </w:r>
          </w:p>
        </w:tc>
        <w:tc>
          <w:tcPr>
            <w:tcW w:w="3118" w:type="dxa"/>
            <w:shd w:val="clear" w:color="auto" w:fill="auto"/>
          </w:tcPr>
          <w:p w:rsidR="00227295" w:rsidRPr="000E0370" w:rsidRDefault="002E2D41" w:rsidP="000670D8">
            <w:pPr>
              <w:suppressAutoHyphens/>
              <w:spacing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Presentación de recursos de revocatoria y apelación para su respectivo trámite.</w:t>
            </w:r>
          </w:p>
        </w:tc>
      </w:tr>
      <w:tr w:rsidR="005802E7" w:rsidRPr="000E0370" w:rsidTr="000E0370">
        <w:trPr>
          <w:trHeight w:val="361"/>
        </w:trPr>
        <w:tc>
          <w:tcPr>
            <w:tcW w:w="3085" w:type="dxa"/>
            <w:shd w:val="clear" w:color="auto" w:fill="auto"/>
          </w:tcPr>
          <w:p w:rsidR="005802E7" w:rsidRPr="000E0370" w:rsidRDefault="005802E7"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 xml:space="preserve">Asesoría jurídica de la contratación, reclutamiento y manejo de personal. </w:t>
            </w:r>
          </w:p>
          <w:p w:rsidR="005802E7" w:rsidRPr="000E0370" w:rsidRDefault="005802E7" w:rsidP="000670D8">
            <w:pPr>
              <w:suppressAutoHyphens/>
              <w:spacing w:line="276" w:lineRule="auto"/>
              <w:jc w:val="both"/>
              <w:rPr>
                <w:rFonts w:ascii="Arial" w:hAnsi="Arial" w:cs="Arial"/>
                <w:b/>
                <w:color w:val="000000"/>
                <w:sz w:val="24"/>
                <w:szCs w:val="24"/>
                <w:lang w:eastAsia="es-CR"/>
              </w:rPr>
            </w:pPr>
          </w:p>
        </w:tc>
        <w:tc>
          <w:tcPr>
            <w:tcW w:w="3119" w:type="dxa"/>
            <w:shd w:val="clear" w:color="auto" w:fill="auto"/>
          </w:tcPr>
          <w:p w:rsidR="005802E7" w:rsidRPr="000E0370" w:rsidRDefault="005802E7"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xml:space="preserve">Asesorar jurídicamente a distintas dependencias sobre la contratación, reclutamiento y manejo de personal. </w:t>
            </w:r>
          </w:p>
          <w:p w:rsidR="005802E7" w:rsidRPr="000E0370" w:rsidRDefault="005802E7" w:rsidP="000670D8">
            <w:pPr>
              <w:shd w:val="clear" w:color="auto" w:fill="FFFFFF"/>
              <w:spacing w:before="120" w:after="120" w:line="276" w:lineRule="auto"/>
              <w:jc w:val="both"/>
              <w:rPr>
                <w:rFonts w:ascii="Arial" w:hAnsi="Arial" w:cs="Arial"/>
                <w:color w:val="000000"/>
                <w:sz w:val="24"/>
                <w:szCs w:val="24"/>
                <w:lang w:eastAsia="es-CR"/>
              </w:rPr>
            </w:pPr>
          </w:p>
        </w:tc>
        <w:tc>
          <w:tcPr>
            <w:tcW w:w="3118" w:type="dxa"/>
            <w:shd w:val="clear" w:color="auto" w:fill="auto"/>
          </w:tcPr>
          <w:p w:rsidR="005802E7" w:rsidRPr="000E0370" w:rsidRDefault="005802E7"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Plantear recomendaciones sobre el tema.</w:t>
            </w:r>
          </w:p>
        </w:tc>
      </w:tr>
      <w:tr w:rsidR="005802E7" w:rsidRPr="000E0370" w:rsidTr="000E0370">
        <w:trPr>
          <w:trHeight w:val="361"/>
        </w:trPr>
        <w:tc>
          <w:tcPr>
            <w:tcW w:w="3085" w:type="dxa"/>
            <w:shd w:val="clear" w:color="auto" w:fill="auto"/>
          </w:tcPr>
          <w:p w:rsidR="005802E7" w:rsidRPr="000E0370" w:rsidRDefault="005802E7"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Revisión de Reglamento</w:t>
            </w:r>
          </w:p>
        </w:tc>
        <w:tc>
          <w:tcPr>
            <w:tcW w:w="3119" w:type="dxa"/>
            <w:shd w:val="clear" w:color="auto" w:fill="auto"/>
          </w:tcPr>
          <w:p w:rsidR="005802E7" w:rsidRPr="000E0370" w:rsidRDefault="005802E7"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Revisión del Reglamento de la Unidad Socio-laboral y Antecedentes (UISA) de la Dirección de Gestión Humana</w:t>
            </w:r>
          </w:p>
          <w:p w:rsidR="005802E7" w:rsidRPr="000E0370" w:rsidRDefault="005802E7" w:rsidP="000670D8">
            <w:pPr>
              <w:shd w:val="clear" w:color="auto" w:fill="FFFFFF"/>
              <w:spacing w:before="120" w:after="120" w:line="276" w:lineRule="auto"/>
              <w:jc w:val="both"/>
              <w:rPr>
                <w:rFonts w:ascii="Arial" w:hAnsi="Arial" w:cs="Arial"/>
                <w:color w:val="000000"/>
                <w:sz w:val="24"/>
                <w:szCs w:val="24"/>
                <w:lang w:eastAsia="es-CR"/>
              </w:rPr>
            </w:pPr>
          </w:p>
        </w:tc>
        <w:tc>
          <w:tcPr>
            <w:tcW w:w="3118" w:type="dxa"/>
            <w:shd w:val="clear" w:color="auto" w:fill="auto"/>
          </w:tcPr>
          <w:p w:rsidR="005802E7" w:rsidRPr="000E0370" w:rsidRDefault="005802E7"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analizó legalmente las implicaciones y demás consecuencias que genere dicho reglamento.</w:t>
            </w:r>
          </w:p>
        </w:tc>
      </w:tr>
      <w:tr w:rsidR="00E5065C" w:rsidRPr="000E0370" w:rsidTr="000E0370">
        <w:trPr>
          <w:trHeight w:val="361"/>
        </w:trPr>
        <w:tc>
          <w:tcPr>
            <w:tcW w:w="3085" w:type="dxa"/>
            <w:shd w:val="clear" w:color="auto" w:fill="auto"/>
          </w:tcPr>
          <w:p w:rsidR="00E5065C" w:rsidRPr="000E0370" w:rsidRDefault="000F3BB3"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Proyecto de Reglamento</w:t>
            </w:r>
          </w:p>
        </w:tc>
        <w:tc>
          <w:tcPr>
            <w:tcW w:w="3119" w:type="dxa"/>
            <w:shd w:val="clear" w:color="auto" w:fill="auto"/>
          </w:tcPr>
          <w:p w:rsidR="00E5065C" w:rsidRPr="000E0370" w:rsidRDefault="000F3BB3"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Proyecto de Reglamento de la Cuenta especial, regulación y administración de la recaudación de honorarios de la Unidad de la Defensa de la persona trabajadora.</w:t>
            </w:r>
          </w:p>
        </w:tc>
        <w:tc>
          <w:tcPr>
            <w:tcW w:w="3118" w:type="dxa"/>
            <w:shd w:val="clear" w:color="auto" w:fill="auto"/>
          </w:tcPr>
          <w:p w:rsidR="00E5065C" w:rsidRPr="000E0370" w:rsidRDefault="000F3BB3"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presento la propuesta para su aprobación.</w:t>
            </w:r>
          </w:p>
        </w:tc>
      </w:tr>
      <w:tr w:rsidR="00E5065C" w:rsidRPr="000E0370" w:rsidTr="000E0370">
        <w:trPr>
          <w:trHeight w:val="361"/>
        </w:trPr>
        <w:tc>
          <w:tcPr>
            <w:tcW w:w="3085" w:type="dxa"/>
            <w:shd w:val="clear" w:color="auto" w:fill="auto"/>
          </w:tcPr>
          <w:p w:rsidR="00E5065C" w:rsidRPr="000E0370" w:rsidRDefault="00D75752"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Proyecto de Reglamento.</w:t>
            </w:r>
          </w:p>
        </w:tc>
        <w:tc>
          <w:tcPr>
            <w:tcW w:w="3119" w:type="dxa"/>
            <w:shd w:val="clear" w:color="auto" w:fill="auto"/>
          </w:tcPr>
          <w:p w:rsidR="00E5065C" w:rsidRPr="000E0370" w:rsidRDefault="00D75752"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Proyecto de Reglamento de organización y funcionamiento de la Unidad de la Defensa de la Persona Trabajadora de la Defensa Pública.</w:t>
            </w:r>
          </w:p>
        </w:tc>
        <w:tc>
          <w:tcPr>
            <w:tcW w:w="3118" w:type="dxa"/>
            <w:shd w:val="clear" w:color="auto" w:fill="auto"/>
          </w:tcPr>
          <w:p w:rsidR="00E5065C" w:rsidRPr="000E0370" w:rsidRDefault="00D75752"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elaboro y se presento la propuesta para su elaboración.</w:t>
            </w:r>
          </w:p>
        </w:tc>
      </w:tr>
      <w:tr w:rsidR="00E5065C" w:rsidRPr="000E0370" w:rsidTr="000E0370">
        <w:trPr>
          <w:trHeight w:val="361"/>
        </w:trPr>
        <w:tc>
          <w:tcPr>
            <w:tcW w:w="3085" w:type="dxa"/>
            <w:shd w:val="clear" w:color="auto" w:fill="auto"/>
          </w:tcPr>
          <w:p w:rsidR="00E5065C" w:rsidRPr="000E0370" w:rsidRDefault="00D75752"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Proyecto de Reglamento.</w:t>
            </w:r>
          </w:p>
        </w:tc>
        <w:tc>
          <w:tcPr>
            <w:tcW w:w="3119" w:type="dxa"/>
            <w:shd w:val="clear" w:color="auto" w:fill="auto"/>
          </w:tcPr>
          <w:p w:rsidR="00E5065C" w:rsidRPr="000E0370" w:rsidRDefault="00D75752"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Proyecto de Reglamento para la operatividad de la relación de los operadores y proveedores de servicios de telecomunicaciones, con el Centro Judicial de Intervenciones de la Comunicaciones y demás autoridades judiciales y policiales en materia penal.</w:t>
            </w:r>
          </w:p>
        </w:tc>
        <w:tc>
          <w:tcPr>
            <w:tcW w:w="3118" w:type="dxa"/>
            <w:shd w:val="clear" w:color="auto" w:fill="auto"/>
          </w:tcPr>
          <w:p w:rsidR="00E5065C" w:rsidRPr="000E0370" w:rsidRDefault="00D75752"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presenta propuesta de Reglamento para su aprobación.</w:t>
            </w:r>
          </w:p>
        </w:tc>
      </w:tr>
      <w:tr w:rsidR="00E5065C" w:rsidRPr="000E0370" w:rsidTr="000E0370">
        <w:trPr>
          <w:trHeight w:val="361"/>
        </w:trPr>
        <w:tc>
          <w:tcPr>
            <w:tcW w:w="3085" w:type="dxa"/>
            <w:shd w:val="clear" w:color="auto" w:fill="auto"/>
          </w:tcPr>
          <w:p w:rsidR="00E5065C" w:rsidRPr="000E0370" w:rsidRDefault="00D75752"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Análisis de normas.</w:t>
            </w:r>
          </w:p>
        </w:tc>
        <w:tc>
          <w:tcPr>
            <w:tcW w:w="3119" w:type="dxa"/>
            <w:shd w:val="clear" w:color="auto" w:fill="auto"/>
          </w:tcPr>
          <w:p w:rsidR="00E5065C" w:rsidRPr="000E0370" w:rsidRDefault="00D75752"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Presentar informe sobre las normas legales que contienen el Código Procesal Civil y la Ley de Reforma Procesal Laboral, que autorizan a la Corte Suprema de Justicia a tomar los acuerdos sobre las transformaciones de los despachos judiciales que atienden la jurisdicción civil y laboral.</w:t>
            </w:r>
          </w:p>
        </w:tc>
        <w:tc>
          <w:tcPr>
            <w:tcW w:w="3118" w:type="dxa"/>
            <w:shd w:val="clear" w:color="auto" w:fill="auto"/>
          </w:tcPr>
          <w:p w:rsidR="00E5065C" w:rsidRPr="000E0370" w:rsidRDefault="00D75752"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presenta informe con el análisis y las recomendaciones.</w:t>
            </w:r>
          </w:p>
        </w:tc>
      </w:tr>
      <w:tr w:rsidR="00E5065C" w:rsidRPr="000E0370" w:rsidTr="000E0370">
        <w:trPr>
          <w:trHeight w:val="361"/>
        </w:trPr>
        <w:tc>
          <w:tcPr>
            <w:tcW w:w="3085" w:type="dxa"/>
            <w:shd w:val="clear" w:color="auto" w:fill="auto"/>
          </w:tcPr>
          <w:p w:rsidR="00E5065C" w:rsidRPr="000E0370" w:rsidRDefault="00E5065C"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Criterio Jurídico</w:t>
            </w:r>
          </w:p>
        </w:tc>
        <w:tc>
          <w:tcPr>
            <w:tcW w:w="3119" w:type="dxa"/>
            <w:shd w:val="clear" w:color="auto" w:fill="auto"/>
          </w:tcPr>
          <w:p w:rsidR="00E5065C" w:rsidRPr="000E0370" w:rsidRDefault="00D75752"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Informe sobre los nuevos requerimientos legales en cuanto al manejo del recurso humano, con motivo de la entrada en vigencia de la Ley de Reforma Procesal Laboral.</w:t>
            </w:r>
          </w:p>
        </w:tc>
        <w:tc>
          <w:tcPr>
            <w:tcW w:w="3118" w:type="dxa"/>
            <w:shd w:val="clear" w:color="auto" w:fill="auto"/>
          </w:tcPr>
          <w:p w:rsidR="00E5065C" w:rsidRPr="000E0370" w:rsidRDefault="00D75752"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presenta informe con recomendaciones a seguir por la entrada en vigencia de la Reforma Procesal Laboral.</w:t>
            </w:r>
          </w:p>
        </w:tc>
      </w:tr>
      <w:tr w:rsidR="00E5065C" w:rsidRPr="000E0370" w:rsidTr="000E0370">
        <w:trPr>
          <w:trHeight w:val="361"/>
        </w:trPr>
        <w:tc>
          <w:tcPr>
            <w:tcW w:w="3085" w:type="dxa"/>
            <w:shd w:val="clear" w:color="auto" w:fill="auto"/>
          </w:tcPr>
          <w:p w:rsidR="00E5065C" w:rsidRPr="000E0370" w:rsidRDefault="00E5065C"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Criterio Jurídico</w:t>
            </w:r>
          </w:p>
        </w:tc>
        <w:tc>
          <w:tcPr>
            <w:tcW w:w="3119" w:type="dxa"/>
            <w:shd w:val="clear" w:color="auto" w:fill="auto"/>
          </w:tcPr>
          <w:p w:rsidR="00E5065C" w:rsidRPr="000E0370" w:rsidRDefault="00D75752"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Atender consulta sobre la posibilidad de suspender la jubilación o pensión judicial a las personas mayores de 80 años que no se presenten a ratificar su condición de persona viva y a actualizar sus datos.</w:t>
            </w:r>
          </w:p>
        </w:tc>
        <w:tc>
          <w:tcPr>
            <w:tcW w:w="3118" w:type="dxa"/>
            <w:shd w:val="clear" w:color="auto" w:fill="auto"/>
          </w:tcPr>
          <w:p w:rsidR="00E5065C" w:rsidRPr="000E0370" w:rsidRDefault="00E5065C" w:rsidP="000670D8">
            <w:pPr>
              <w:shd w:val="clear" w:color="auto" w:fill="FFFFFF"/>
              <w:spacing w:before="120" w:after="120" w:line="276" w:lineRule="auto"/>
              <w:jc w:val="both"/>
              <w:rPr>
                <w:rFonts w:ascii="Arial" w:hAnsi="Arial" w:cs="Arial"/>
                <w:color w:val="000000"/>
                <w:sz w:val="24"/>
                <w:szCs w:val="24"/>
                <w:lang w:eastAsia="es-CR"/>
              </w:rPr>
            </w:pPr>
          </w:p>
        </w:tc>
      </w:tr>
      <w:tr w:rsidR="00E5065C" w:rsidRPr="000E0370" w:rsidTr="000E0370">
        <w:trPr>
          <w:trHeight w:val="361"/>
        </w:trPr>
        <w:tc>
          <w:tcPr>
            <w:tcW w:w="3085" w:type="dxa"/>
            <w:shd w:val="clear" w:color="auto" w:fill="auto"/>
          </w:tcPr>
          <w:p w:rsidR="00E5065C" w:rsidRPr="000E0370" w:rsidRDefault="00A21DF6"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Análisis del impacto de la aprobación de la Ley de creación de Jurisdicción Especializada en Delincuencia Organizada.</w:t>
            </w:r>
          </w:p>
        </w:tc>
        <w:tc>
          <w:tcPr>
            <w:tcW w:w="3119" w:type="dxa"/>
            <w:shd w:val="clear" w:color="auto" w:fill="auto"/>
          </w:tcPr>
          <w:p w:rsidR="00E5065C" w:rsidRPr="000E0370" w:rsidRDefault="00A21DF6"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Presentación de informe de impacto de la aprobación de la Ley de creación de la Jurisdicción Especializada en Delincuencia Organizada en Costa Rica.</w:t>
            </w:r>
          </w:p>
        </w:tc>
        <w:tc>
          <w:tcPr>
            <w:tcW w:w="3118" w:type="dxa"/>
            <w:shd w:val="clear" w:color="auto" w:fill="auto"/>
          </w:tcPr>
          <w:p w:rsidR="00E5065C" w:rsidRPr="000E0370" w:rsidRDefault="00A21DF6"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presenta informe con el análisis desarrollado de la mencionada ley y se emiten recomendaciones a seguir.</w:t>
            </w:r>
          </w:p>
        </w:tc>
      </w:tr>
      <w:tr w:rsidR="00E5065C" w:rsidRPr="000E0370" w:rsidTr="000E0370">
        <w:trPr>
          <w:trHeight w:val="361"/>
        </w:trPr>
        <w:tc>
          <w:tcPr>
            <w:tcW w:w="3085" w:type="dxa"/>
            <w:shd w:val="clear" w:color="auto" w:fill="auto"/>
          </w:tcPr>
          <w:p w:rsidR="00E5065C" w:rsidRPr="000E0370" w:rsidRDefault="00E5065C"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Criterio</w:t>
            </w:r>
            <w:r w:rsidR="00A21DF6" w:rsidRPr="000E0370">
              <w:rPr>
                <w:rFonts w:ascii="Arial" w:hAnsi="Arial" w:cs="Arial"/>
                <w:b/>
                <w:color w:val="000000"/>
                <w:sz w:val="24"/>
                <w:szCs w:val="24"/>
                <w:lang w:eastAsia="es-CR"/>
              </w:rPr>
              <w:t>s</w:t>
            </w:r>
            <w:r w:rsidRPr="000E0370">
              <w:rPr>
                <w:rFonts w:ascii="Arial" w:hAnsi="Arial" w:cs="Arial"/>
                <w:b/>
                <w:color w:val="000000"/>
                <w:sz w:val="24"/>
                <w:szCs w:val="24"/>
                <w:lang w:eastAsia="es-CR"/>
              </w:rPr>
              <w:t xml:space="preserve"> Jurídico</w:t>
            </w:r>
            <w:r w:rsidR="00A21DF6" w:rsidRPr="000E0370">
              <w:rPr>
                <w:rFonts w:ascii="Arial" w:hAnsi="Arial" w:cs="Arial"/>
                <w:b/>
                <w:color w:val="000000"/>
                <w:sz w:val="24"/>
                <w:szCs w:val="24"/>
                <w:lang w:eastAsia="es-CR"/>
              </w:rPr>
              <w:t>s relacionados con los derechos laborales y jornadas de trabajo de las personas funcionarias del Organismo de Investigación Judicial.</w:t>
            </w:r>
          </w:p>
        </w:tc>
        <w:tc>
          <w:tcPr>
            <w:tcW w:w="3119" w:type="dxa"/>
            <w:shd w:val="clear" w:color="auto" w:fill="auto"/>
          </w:tcPr>
          <w:p w:rsidR="00A21DF6" w:rsidRPr="000E0370" w:rsidRDefault="00A21DF6"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Informe sobre la jornada de trabajo de las investigadoras e investigadores del OIJ.</w:t>
            </w:r>
          </w:p>
          <w:p w:rsidR="00E5065C" w:rsidRPr="000E0370" w:rsidRDefault="00E5065C" w:rsidP="000670D8">
            <w:pPr>
              <w:shd w:val="clear" w:color="auto" w:fill="FFFFFF"/>
              <w:spacing w:before="120" w:after="120" w:line="276" w:lineRule="auto"/>
              <w:jc w:val="both"/>
              <w:rPr>
                <w:rFonts w:ascii="Arial" w:hAnsi="Arial" w:cs="Arial"/>
                <w:color w:val="000000"/>
                <w:sz w:val="24"/>
                <w:szCs w:val="24"/>
                <w:lang w:eastAsia="es-CR"/>
              </w:rPr>
            </w:pPr>
          </w:p>
        </w:tc>
        <w:tc>
          <w:tcPr>
            <w:tcW w:w="3118" w:type="dxa"/>
            <w:shd w:val="clear" w:color="auto" w:fill="auto"/>
          </w:tcPr>
          <w:p w:rsidR="00E5065C" w:rsidRPr="000E0370" w:rsidRDefault="00A21DF6"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despejan consultas de funcionarios y funcionarias del OIJ, en cuanto a sus derechos laborales y sus jornadas de trabajo.</w:t>
            </w:r>
          </w:p>
        </w:tc>
      </w:tr>
      <w:tr w:rsidR="00E5065C" w:rsidRPr="000E0370" w:rsidTr="000E0370">
        <w:trPr>
          <w:trHeight w:val="361"/>
        </w:trPr>
        <w:tc>
          <w:tcPr>
            <w:tcW w:w="3085" w:type="dxa"/>
            <w:shd w:val="clear" w:color="auto" w:fill="auto"/>
          </w:tcPr>
          <w:p w:rsidR="00E5065C" w:rsidRPr="000E0370" w:rsidRDefault="00A21DF6"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Análisis de aplicación legal dentro del Poder Judicial de la nueva Reforma Procesal Laboral.</w:t>
            </w:r>
          </w:p>
        </w:tc>
        <w:tc>
          <w:tcPr>
            <w:tcW w:w="3119" w:type="dxa"/>
            <w:shd w:val="clear" w:color="auto" w:fill="auto"/>
          </w:tcPr>
          <w:p w:rsidR="00E5065C" w:rsidRPr="000E0370" w:rsidRDefault="00A21DF6"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Analizar la aplicación que se le debe dar a lo interno de la Institución a la nueva normativa que rige en la materia Procesal Laboral.</w:t>
            </w:r>
          </w:p>
        </w:tc>
        <w:tc>
          <w:tcPr>
            <w:tcW w:w="3118" w:type="dxa"/>
            <w:shd w:val="clear" w:color="auto" w:fill="auto"/>
          </w:tcPr>
          <w:p w:rsidR="00E5065C" w:rsidRPr="000E0370" w:rsidRDefault="00A21DF6"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emiten recomendaciones tanto al Consejo Superior como a la Dirección de Gestión Humana sobre la</w:t>
            </w:r>
            <w:r w:rsidR="007D27AB" w:rsidRPr="000E0370">
              <w:rPr>
                <w:rFonts w:ascii="Arial" w:hAnsi="Arial" w:cs="Arial"/>
                <w:color w:val="000000"/>
                <w:sz w:val="24"/>
                <w:szCs w:val="24"/>
                <w:lang w:eastAsia="es-CR"/>
              </w:rPr>
              <w:t xml:space="preserve"> aplicación de las normas procesales laborales que deben darse por parte de la Institución.</w:t>
            </w:r>
          </w:p>
        </w:tc>
      </w:tr>
      <w:tr w:rsidR="00E5065C" w:rsidRPr="000E0370" w:rsidTr="000E0370">
        <w:trPr>
          <w:trHeight w:val="361"/>
        </w:trPr>
        <w:tc>
          <w:tcPr>
            <w:tcW w:w="3085" w:type="dxa"/>
            <w:shd w:val="clear" w:color="auto" w:fill="auto"/>
          </w:tcPr>
          <w:p w:rsidR="00E5065C" w:rsidRPr="000E0370" w:rsidRDefault="00E5065C"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Criterio Jurídico</w:t>
            </w:r>
          </w:p>
        </w:tc>
        <w:tc>
          <w:tcPr>
            <w:tcW w:w="3119" w:type="dxa"/>
            <w:shd w:val="clear" w:color="auto" w:fill="auto"/>
          </w:tcPr>
          <w:p w:rsidR="00E5065C" w:rsidRPr="000E0370" w:rsidRDefault="007D27AB"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Atender solicitud de criterio respecto al acceso al perfil de “Movimientos migratorios por cédula de la Plataforma de Información Policial (PIP).</w:t>
            </w:r>
          </w:p>
        </w:tc>
        <w:tc>
          <w:tcPr>
            <w:tcW w:w="3118" w:type="dxa"/>
            <w:shd w:val="clear" w:color="auto" w:fill="auto"/>
          </w:tcPr>
          <w:p w:rsidR="00E5065C" w:rsidRPr="000E0370" w:rsidRDefault="007D27AB" w:rsidP="000670D8">
            <w:pPr>
              <w:shd w:val="clear" w:color="auto" w:fill="FFFFFF"/>
              <w:suppressAutoHyphens/>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emite criterio con la respuesta de la consulta planteada y cuáles son los órganos que cuentan con competencia para acceder a dicha plataforma.</w:t>
            </w:r>
          </w:p>
        </w:tc>
      </w:tr>
      <w:tr w:rsidR="00E5065C" w:rsidRPr="000E0370" w:rsidTr="000E0370">
        <w:trPr>
          <w:trHeight w:val="361"/>
        </w:trPr>
        <w:tc>
          <w:tcPr>
            <w:tcW w:w="3085" w:type="dxa"/>
            <w:shd w:val="clear" w:color="auto" w:fill="auto"/>
          </w:tcPr>
          <w:p w:rsidR="00E5065C" w:rsidRPr="000E0370" w:rsidRDefault="007D27AB"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Análisis de recomendaciones sobre la Organización del Consejo.</w:t>
            </w:r>
          </w:p>
        </w:tc>
        <w:tc>
          <w:tcPr>
            <w:tcW w:w="3119" w:type="dxa"/>
            <w:shd w:val="clear" w:color="auto" w:fill="auto"/>
          </w:tcPr>
          <w:p w:rsidR="007D27AB" w:rsidRPr="000E0370" w:rsidRDefault="007D27AB"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Atención de Recomendaciones del informe 2267-PLA-16, y asesoría sobre como implantar las mismas en la organización del Consejo Superior.</w:t>
            </w:r>
          </w:p>
          <w:p w:rsidR="00E5065C" w:rsidRPr="000E0370" w:rsidRDefault="00E5065C" w:rsidP="000670D8">
            <w:pPr>
              <w:shd w:val="clear" w:color="auto" w:fill="FFFFFF"/>
              <w:suppressAutoHyphens/>
              <w:spacing w:before="120" w:after="120" w:line="276" w:lineRule="auto"/>
              <w:jc w:val="both"/>
              <w:rPr>
                <w:rFonts w:ascii="Arial" w:hAnsi="Arial" w:cs="Arial"/>
                <w:color w:val="000000"/>
                <w:sz w:val="24"/>
                <w:szCs w:val="24"/>
                <w:lang w:eastAsia="es-CR"/>
              </w:rPr>
            </w:pPr>
          </w:p>
        </w:tc>
        <w:tc>
          <w:tcPr>
            <w:tcW w:w="3118" w:type="dxa"/>
            <w:shd w:val="clear" w:color="auto" w:fill="auto"/>
          </w:tcPr>
          <w:p w:rsidR="00E5065C" w:rsidRPr="000E0370" w:rsidRDefault="007D27AB" w:rsidP="000670D8">
            <w:pPr>
              <w:shd w:val="clear" w:color="auto" w:fill="FFFFFF"/>
              <w:suppressAutoHyphens/>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analizan las recomendaciones y se envía al Consejo Superior una posible salida para el implemento de las mismas.</w:t>
            </w:r>
          </w:p>
        </w:tc>
      </w:tr>
      <w:tr w:rsidR="00E5065C" w:rsidRPr="000E0370" w:rsidTr="000E0370">
        <w:trPr>
          <w:trHeight w:val="361"/>
        </w:trPr>
        <w:tc>
          <w:tcPr>
            <w:tcW w:w="3085" w:type="dxa"/>
            <w:shd w:val="clear" w:color="auto" w:fill="auto"/>
          </w:tcPr>
          <w:p w:rsidR="00E5065C" w:rsidRPr="000E0370" w:rsidRDefault="007D27AB"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Asesoría para la realización del concurso para el cargo de Auditor y Sub Auditor Interno.</w:t>
            </w:r>
          </w:p>
        </w:tc>
        <w:tc>
          <w:tcPr>
            <w:tcW w:w="3119" w:type="dxa"/>
            <w:shd w:val="clear" w:color="auto" w:fill="auto"/>
          </w:tcPr>
          <w:p w:rsidR="00E5065C" w:rsidRPr="000E0370" w:rsidRDefault="007D27AB"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Atención de criterio  sobre si es procedente solicitar a las personas participantes la incorporación exclusiva al Colegio de Contadores Públicos y no al Colegio de Profesionales en Ciencias Económicas de Costa Rica. Concurso CN-05-2017 para ocupar en propiedad el cargo de Auditor(a) Interno.</w:t>
            </w:r>
          </w:p>
        </w:tc>
        <w:tc>
          <w:tcPr>
            <w:tcW w:w="3118" w:type="dxa"/>
            <w:shd w:val="clear" w:color="auto" w:fill="auto"/>
          </w:tcPr>
          <w:p w:rsidR="00E5065C" w:rsidRPr="000E0370" w:rsidRDefault="007D27AB"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analiza la consulta y se presenta informe ante la Dirección solicitante.</w:t>
            </w:r>
          </w:p>
        </w:tc>
      </w:tr>
      <w:tr w:rsidR="00E5065C" w:rsidRPr="000E0370" w:rsidTr="000E0370">
        <w:trPr>
          <w:trHeight w:val="361"/>
        </w:trPr>
        <w:tc>
          <w:tcPr>
            <w:tcW w:w="3085" w:type="dxa"/>
            <w:shd w:val="clear" w:color="auto" w:fill="auto"/>
          </w:tcPr>
          <w:p w:rsidR="00E5065C" w:rsidRPr="000E0370" w:rsidRDefault="002001A8"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Atención de consulta jurídica.</w:t>
            </w:r>
          </w:p>
        </w:tc>
        <w:tc>
          <w:tcPr>
            <w:tcW w:w="3119" w:type="dxa"/>
            <w:shd w:val="clear" w:color="auto" w:fill="auto"/>
          </w:tcPr>
          <w:p w:rsidR="00E5065C" w:rsidRPr="000E0370" w:rsidRDefault="002001A8"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Emitir criterio sobre el correcto cobro que debe darse en el tema de timbres fiscales.</w:t>
            </w:r>
          </w:p>
        </w:tc>
        <w:tc>
          <w:tcPr>
            <w:tcW w:w="3118" w:type="dxa"/>
            <w:shd w:val="clear" w:color="auto" w:fill="auto"/>
          </w:tcPr>
          <w:p w:rsidR="00E5065C" w:rsidRPr="000E0370" w:rsidRDefault="002001A8"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evacua la consulta y se unifica a nivel judicial el criterio sobre la forma en que debe darse el cobro de timbres fiscales.</w:t>
            </w:r>
          </w:p>
        </w:tc>
      </w:tr>
      <w:tr w:rsidR="00E5065C" w:rsidRPr="000E0370" w:rsidTr="000E0370">
        <w:trPr>
          <w:trHeight w:val="361"/>
        </w:trPr>
        <w:tc>
          <w:tcPr>
            <w:tcW w:w="3085" w:type="dxa"/>
            <w:shd w:val="clear" w:color="auto" w:fill="auto"/>
          </w:tcPr>
          <w:p w:rsidR="00E5065C" w:rsidRPr="000E0370" w:rsidRDefault="002001A8"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Asesoría Jurídica en el tema del Fondo de Pensiones del Poder Judicial.</w:t>
            </w:r>
          </w:p>
        </w:tc>
        <w:tc>
          <w:tcPr>
            <w:tcW w:w="3119" w:type="dxa"/>
            <w:shd w:val="clear" w:color="auto" w:fill="auto"/>
          </w:tcPr>
          <w:p w:rsidR="00E5065C" w:rsidRPr="000E0370" w:rsidRDefault="002001A8"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Acompañar y asesorar junto con los y las Magistrados y Magistradas de la Corte Suprema de Justicia, las reformas que se buscan hacer a la Ley Orgánica del Poder Judicial, en el tema de las pensiones.</w:t>
            </w:r>
          </w:p>
        </w:tc>
        <w:tc>
          <w:tcPr>
            <w:tcW w:w="3118" w:type="dxa"/>
            <w:shd w:val="clear" w:color="auto" w:fill="auto"/>
          </w:tcPr>
          <w:p w:rsidR="00E5065C" w:rsidRPr="000E0370" w:rsidRDefault="002001A8"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emitieron criterios y negociaciones durante el proceso que aún se encuentra en trámite.</w:t>
            </w:r>
          </w:p>
        </w:tc>
      </w:tr>
      <w:tr w:rsidR="00E5065C" w:rsidRPr="000E0370" w:rsidTr="000E0370">
        <w:trPr>
          <w:trHeight w:val="361"/>
        </w:trPr>
        <w:tc>
          <w:tcPr>
            <w:tcW w:w="3085" w:type="dxa"/>
            <w:shd w:val="clear" w:color="auto" w:fill="auto"/>
          </w:tcPr>
          <w:p w:rsidR="00E5065C" w:rsidRPr="000E0370" w:rsidRDefault="002001A8"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Asesoría durante la Huelga promovida por el Frente Gremial del Poder Judicial.</w:t>
            </w:r>
          </w:p>
        </w:tc>
        <w:tc>
          <w:tcPr>
            <w:tcW w:w="3119" w:type="dxa"/>
            <w:shd w:val="clear" w:color="auto" w:fill="auto"/>
          </w:tcPr>
          <w:p w:rsidR="00E5065C" w:rsidRPr="000E0370" w:rsidRDefault="002001A8"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Envió de calificación de la huelga promovida por las agrupaciones que conforman el Frente Gremial del Poder Judicial.</w:t>
            </w:r>
          </w:p>
        </w:tc>
        <w:tc>
          <w:tcPr>
            <w:tcW w:w="3118" w:type="dxa"/>
            <w:shd w:val="clear" w:color="auto" w:fill="auto"/>
          </w:tcPr>
          <w:p w:rsidR="00E5065C" w:rsidRPr="000E0370" w:rsidRDefault="002001A8"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coordino con la Procuraduría General de la República para el envió de solicitud de calificación de la Huelga que enfrentó el Poder Judicial.</w:t>
            </w:r>
          </w:p>
        </w:tc>
      </w:tr>
      <w:tr w:rsidR="00E5065C" w:rsidRPr="000E0370" w:rsidTr="000E0370">
        <w:trPr>
          <w:trHeight w:val="361"/>
        </w:trPr>
        <w:tc>
          <w:tcPr>
            <w:tcW w:w="3085" w:type="dxa"/>
            <w:shd w:val="clear" w:color="auto" w:fill="auto"/>
          </w:tcPr>
          <w:p w:rsidR="00E5065C" w:rsidRPr="000E0370" w:rsidRDefault="003E2D9A"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Asesoría para cumplir con lo dispuesto por la Sala Constitucional en el tema de la Lista de Árbitros con las que debe contar la Secretaría General de la Corte.</w:t>
            </w:r>
          </w:p>
        </w:tc>
        <w:tc>
          <w:tcPr>
            <w:tcW w:w="3119" w:type="dxa"/>
            <w:shd w:val="clear" w:color="auto" w:fill="auto"/>
          </w:tcPr>
          <w:p w:rsidR="00E5065C" w:rsidRPr="000E0370" w:rsidRDefault="003E2D9A"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Emitir criterio sobre Listas para Árbitros de Derechos y Árbitros de Equidad y sobre si los postulantes pueden ser funcionarios judiciales, así como una revocatoria.</w:t>
            </w:r>
          </w:p>
        </w:tc>
        <w:tc>
          <w:tcPr>
            <w:tcW w:w="3118" w:type="dxa"/>
            <w:shd w:val="clear" w:color="auto" w:fill="auto"/>
          </w:tcPr>
          <w:p w:rsidR="00E5065C" w:rsidRPr="000E0370" w:rsidRDefault="003E2D9A"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emite criterio sobre cada caso en  concreto de cada persona funcionaria postulante.</w:t>
            </w:r>
          </w:p>
        </w:tc>
      </w:tr>
      <w:tr w:rsidR="00E5065C" w:rsidRPr="000E0370" w:rsidTr="000E0370">
        <w:trPr>
          <w:trHeight w:val="361"/>
        </w:trPr>
        <w:tc>
          <w:tcPr>
            <w:tcW w:w="3085" w:type="dxa"/>
            <w:shd w:val="clear" w:color="auto" w:fill="auto"/>
          </w:tcPr>
          <w:p w:rsidR="00E5065C" w:rsidRPr="000E0370" w:rsidRDefault="003E2D9A" w:rsidP="000670D8">
            <w:pPr>
              <w:spacing w:line="276" w:lineRule="auto"/>
              <w:jc w:val="both"/>
              <w:rPr>
                <w:rFonts w:ascii="Arial" w:hAnsi="Arial" w:cs="Arial"/>
                <w:b/>
                <w:sz w:val="24"/>
                <w:szCs w:val="24"/>
              </w:rPr>
            </w:pPr>
            <w:r w:rsidRPr="000E0370">
              <w:rPr>
                <w:rFonts w:ascii="Arial" w:hAnsi="Arial" w:cs="Arial"/>
                <w:b/>
                <w:sz w:val="24"/>
                <w:szCs w:val="24"/>
              </w:rPr>
              <w:t>Análisis de sentencia de Sala Constitucional sobre los nuevos modelos de reclutamiento en la función pública.</w:t>
            </w:r>
          </w:p>
        </w:tc>
        <w:tc>
          <w:tcPr>
            <w:tcW w:w="3119" w:type="dxa"/>
            <w:shd w:val="clear" w:color="auto" w:fill="auto"/>
          </w:tcPr>
          <w:p w:rsidR="00E5065C" w:rsidRPr="000E0370" w:rsidRDefault="003E2D9A"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Analizar las implicaciones que esta sentencia genera para el Poder Judicial.</w:t>
            </w:r>
          </w:p>
        </w:tc>
        <w:tc>
          <w:tcPr>
            <w:tcW w:w="3118" w:type="dxa"/>
            <w:shd w:val="clear" w:color="auto" w:fill="auto"/>
          </w:tcPr>
          <w:p w:rsidR="00E5065C" w:rsidRPr="000E0370" w:rsidRDefault="003E2D9A"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emiten recomendaciones respecto a este tema.</w:t>
            </w:r>
          </w:p>
        </w:tc>
      </w:tr>
      <w:tr w:rsidR="00E5065C" w:rsidRPr="000E0370" w:rsidTr="000E0370">
        <w:trPr>
          <w:trHeight w:val="361"/>
        </w:trPr>
        <w:tc>
          <w:tcPr>
            <w:tcW w:w="3085" w:type="dxa"/>
            <w:shd w:val="clear" w:color="auto" w:fill="auto"/>
          </w:tcPr>
          <w:p w:rsidR="00E5065C" w:rsidRPr="000E0370" w:rsidRDefault="00E5065C"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Criterio Jurídico</w:t>
            </w:r>
          </w:p>
        </w:tc>
        <w:tc>
          <w:tcPr>
            <w:tcW w:w="3119" w:type="dxa"/>
            <w:shd w:val="clear" w:color="auto" w:fill="auto"/>
          </w:tcPr>
          <w:p w:rsidR="00E5065C" w:rsidRPr="000E0370" w:rsidRDefault="003E2D9A"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Emitir criterio sobre el procedimiento a seguir para los nombramientos en la vicepresidencia de la Corte.</w:t>
            </w:r>
          </w:p>
        </w:tc>
        <w:tc>
          <w:tcPr>
            <w:tcW w:w="3118" w:type="dxa"/>
            <w:shd w:val="clear" w:color="auto" w:fill="auto"/>
          </w:tcPr>
          <w:p w:rsidR="00E5065C" w:rsidRPr="000E0370" w:rsidRDefault="003E2D9A"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envía criterio a Corte Plena para su conocimiento.</w:t>
            </w:r>
          </w:p>
        </w:tc>
      </w:tr>
      <w:tr w:rsidR="00E5065C" w:rsidRPr="000E0370" w:rsidTr="000E0370">
        <w:trPr>
          <w:trHeight w:val="361"/>
        </w:trPr>
        <w:tc>
          <w:tcPr>
            <w:tcW w:w="3085" w:type="dxa"/>
            <w:shd w:val="clear" w:color="auto" w:fill="auto"/>
          </w:tcPr>
          <w:p w:rsidR="00E5065C" w:rsidRPr="000E0370" w:rsidRDefault="003E2D9A"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Propuesta de Reglamento.</w:t>
            </w:r>
          </w:p>
        </w:tc>
        <w:tc>
          <w:tcPr>
            <w:tcW w:w="3119" w:type="dxa"/>
            <w:shd w:val="clear" w:color="auto" w:fill="auto"/>
          </w:tcPr>
          <w:p w:rsidR="00E5065C" w:rsidRPr="000E0370" w:rsidRDefault="003E2D9A"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Elaboración del Reglamento propuesto para la UISA.</w:t>
            </w:r>
          </w:p>
        </w:tc>
        <w:tc>
          <w:tcPr>
            <w:tcW w:w="3118" w:type="dxa"/>
            <w:shd w:val="clear" w:color="auto" w:fill="auto"/>
          </w:tcPr>
          <w:p w:rsidR="00E5065C" w:rsidRPr="000E0370" w:rsidRDefault="003E2D9A"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envía Reglamento para su aprobación.</w:t>
            </w:r>
          </w:p>
        </w:tc>
      </w:tr>
      <w:tr w:rsidR="00E5065C" w:rsidRPr="000E0370" w:rsidTr="000E0370">
        <w:trPr>
          <w:trHeight w:val="361"/>
        </w:trPr>
        <w:tc>
          <w:tcPr>
            <w:tcW w:w="3085" w:type="dxa"/>
            <w:shd w:val="clear" w:color="auto" w:fill="auto"/>
          </w:tcPr>
          <w:p w:rsidR="00E5065C" w:rsidRPr="000E0370" w:rsidRDefault="00E5065C"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Criterio Jurídico</w:t>
            </w:r>
          </w:p>
        </w:tc>
        <w:tc>
          <w:tcPr>
            <w:tcW w:w="3119" w:type="dxa"/>
            <w:shd w:val="clear" w:color="auto" w:fill="auto"/>
          </w:tcPr>
          <w:p w:rsidR="00E5065C" w:rsidRPr="000E0370" w:rsidRDefault="003E2D9A"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Criterio legal respecto a la gestión presentada por la Asociación Nacional de Empleados Públicos y Privados y los alcances para otorgar este tipo de permisos en el Poder Judicial (goce sindical).</w:t>
            </w:r>
          </w:p>
        </w:tc>
        <w:tc>
          <w:tcPr>
            <w:tcW w:w="3118" w:type="dxa"/>
            <w:shd w:val="clear" w:color="auto" w:fill="auto"/>
          </w:tcPr>
          <w:p w:rsidR="00E5065C" w:rsidRPr="000E0370" w:rsidRDefault="00E410B9"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emite criterio sobre la consulta planteada.</w:t>
            </w:r>
          </w:p>
        </w:tc>
      </w:tr>
      <w:tr w:rsidR="00E5065C" w:rsidRPr="000E0370" w:rsidTr="000E0370">
        <w:trPr>
          <w:trHeight w:val="361"/>
        </w:trPr>
        <w:tc>
          <w:tcPr>
            <w:tcW w:w="3085" w:type="dxa"/>
            <w:shd w:val="clear" w:color="auto" w:fill="auto"/>
          </w:tcPr>
          <w:p w:rsidR="00E5065C" w:rsidRPr="000E0370" w:rsidRDefault="00E410B9"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Atención de consulta jurídica.</w:t>
            </w:r>
          </w:p>
        </w:tc>
        <w:tc>
          <w:tcPr>
            <w:tcW w:w="3119" w:type="dxa"/>
            <w:shd w:val="clear" w:color="auto" w:fill="auto"/>
          </w:tcPr>
          <w:p w:rsidR="00E5065C" w:rsidRPr="000E0370" w:rsidRDefault="00E410B9"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Atender consulta sobre  Cuáles son los parámetros de afinidad o consanguinidad para nombrar a los funcionarios judiciales y cuáles son los grados por afinidad y cuales los de consanguinidad.</w:t>
            </w:r>
          </w:p>
        </w:tc>
        <w:tc>
          <w:tcPr>
            <w:tcW w:w="3118" w:type="dxa"/>
            <w:shd w:val="clear" w:color="auto" w:fill="auto"/>
          </w:tcPr>
          <w:p w:rsidR="00E5065C" w:rsidRPr="000E0370" w:rsidRDefault="00E410B9"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xml:space="preserve">Se emite criterio con la respuesta requerida por el </w:t>
            </w:r>
            <w:r w:rsidR="00E53517" w:rsidRPr="000E0370">
              <w:rPr>
                <w:rFonts w:ascii="Arial" w:hAnsi="Arial" w:cs="Arial"/>
                <w:color w:val="000000"/>
                <w:sz w:val="24"/>
                <w:szCs w:val="24"/>
                <w:lang w:eastAsia="es-CR"/>
              </w:rPr>
              <w:t>órgano</w:t>
            </w:r>
            <w:r w:rsidRPr="000E0370">
              <w:rPr>
                <w:rFonts w:ascii="Arial" w:hAnsi="Arial" w:cs="Arial"/>
                <w:color w:val="000000"/>
                <w:sz w:val="24"/>
                <w:szCs w:val="24"/>
                <w:lang w:eastAsia="es-CR"/>
              </w:rPr>
              <w:t xml:space="preserve"> solicitante y una breve recomendación para su respectivo trámite.</w:t>
            </w:r>
          </w:p>
        </w:tc>
      </w:tr>
      <w:tr w:rsidR="00E5065C" w:rsidRPr="000E0370" w:rsidTr="000E0370">
        <w:trPr>
          <w:trHeight w:val="361"/>
        </w:trPr>
        <w:tc>
          <w:tcPr>
            <w:tcW w:w="3085" w:type="dxa"/>
            <w:shd w:val="clear" w:color="auto" w:fill="auto"/>
          </w:tcPr>
          <w:p w:rsidR="00E5065C" w:rsidRPr="000E0370" w:rsidRDefault="00E410B9"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Realización de estudio.</w:t>
            </w:r>
          </w:p>
        </w:tc>
        <w:tc>
          <w:tcPr>
            <w:tcW w:w="3119" w:type="dxa"/>
            <w:shd w:val="clear" w:color="auto" w:fill="auto"/>
          </w:tcPr>
          <w:p w:rsidR="00E5065C" w:rsidRPr="000E0370" w:rsidRDefault="00E410B9"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Estudio respecto a la interpretación presentada por el Ministerio de Hacienda, en cuanto a que el impuesto del 8% sobre los rendimientos generados en operaciones de recompras o reportos, realizadas por medio de una bolsa de valores.</w:t>
            </w:r>
          </w:p>
        </w:tc>
        <w:tc>
          <w:tcPr>
            <w:tcW w:w="3118" w:type="dxa"/>
            <w:shd w:val="clear" w:color="auto" w:fill="auto"/>
          </w:tcPr>
          <w:p w:rsidR="00E5065C" w:rsidRPr="000E0370" w:rsidRDefault="00E410B9"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analiza el estudio planteado y se someten recomendaciones para su valoración por parte de las personas y órganos encargados.</w:t>
            </w:r>
          </w:p>
        </w:tc>
      </w:tr>
      <w:tr w:rsidR="00E5065C" w:rsidRPr="000E0370" w:rsidTr="000E0370">
        <w:trPr>
          <w:trHeight w:val="361"/>
        </w:trPr>
        <w:tc>
          <w:tcPr>
            <w:tcW w:w="3085" w:type="dxa"/>
            <w:shd w:val="clear" w:color="auto" w:fill="auto"/>
          </w:tcPr>
          <w:p w:rsidR="00E5065C" w:rsidRPr="000E0370" w:rsidRDefault="00E5065C"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Criterio Jurídico</w:t>
            </w:r>
          </w:p>
        </w:tc>
        <w:tc>
          <w:tcPr>
            <w:tcW w:w="3119" w:type="dxa"/>
            <w:shd w:val="clear" w:color="auto" w:fill="auto"/>
          </w:tcPr>
          <w:p w:rsidR="00E5065C" w:rsidRPr="000E0370" w:rsidRDefault="00E410B9"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Solicitud de criterio sobre la responsabilidad de los servidores judiciales nombrados como meritorios en materia disciplinaria, o bien si existe la posibilidad de sanción alguna similar, a la de los técnicos judiciales nombrados.</w:t>
            </w:r>
          </w:p>
        </w:tc>
        <w:tc>
          <w:tcPr>
            <w:tcW w:w="3118" w:type="dxa"/>
            <w:shd w:val="clear" w:color="auto" w:fill="auto"/>
          </w:tcPr>
          <w:p w:rsidR="00E5065C" w:rsidRPr="000E0370" w:rsidRDefault="00E410B9"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emite el criterio correspondiente.</w:t>
            </w:r>
          </w:p>
        </w:tc>
      </w:tr>
      <w:tr w:rsidR="00E5065C" w:rsidRPr="000E0370" w:rsidTr="000E0370">
        <w:trPr>
          <w:trHeight w:val="361"/>
        </w:trPr>
        <w:tc>
          <w:tcPr>
            <w:tcW w:w="3085" w:type="dxa"/>
            <w:shd w:val="clear" w:color="auto" w:fill="auto"/>
          </w:tcPr>
          <w:p w:rsidR="00E5065C" w:rsidRPr="000E0370" w:rsidRDefault="00E410B9"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Atención de consulta.</w:t>
            </w:r>
          </w:p>
        </w:tc>
        <w:tc>
          <w:tcPr>
            <w:tcW w:w="3119" w:type="dxa"/>
            <w:shd w:val="clear" w:color="auto" w:fill="auto"/>
          </w:tcPr>
          <w:p w:rsidR="00E5065C" w:rsidRPr="000E0370" w:rsidRDefault="00E410B9"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Dar repuesta a la consulta sobre la naturaleza de los recursos del Fondo de Jubilaciones y Pensiones del Poder Judicial y el alcance de aplicación de la Directriz Presidencial 18-H, publicada en la Gaceta No. 233, dirigida a los bancos públicos y entidades públicas en la negociación de sus depósitos.</w:t>
            </w:r>
          </w:p>
        </w:tc>
        <w:tc>
          <w:tcPr>
            <w:tcW w:w="3118" w:type="dxa"/>
            <w:shd w:val="clear" w:color="auto" w:fill="auto"/>
          </w:tcPr>
          <w:p w:rsidR="00E5065C" w:rsidRPr="000E0370" w:rsidRDefault="00E410B9"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emite la respuesta solicitada y se somete a estudio por parte del Consejo Superior.</w:t>
            </w:r>
          </w:p>
        </w:tc>
      </w:tr>
      <w:tr w:rsidR="00E5065C" w:rsidRPr="000E0370" w:rsidTr="000E0370">
        <w:trPr>
          <w:trHeight w:val="361"/>
        </w:trPr>
        <w:tc>
          <w:tcPr>
            <w:tcW w:w="3085" w:type="dxa"/>
            <w:shd w:val="clear" w:color="auto" w:fill="auto"/>
          </w:tcPr>
          <w:p w:rsidR="00E5065C" w:rsidRPr="000E0370" w:rsidRDefault="00E5065C"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Criterio Jurídico</w:t>
            </w:r>
          </w:p>
        </w:tc>
        <w:tc>
          <w:tcPr>
            <w:tcW w:w="3119" w:type="dxa"/>
            <w:shd w:val="clear" w:color="auto" w:fill="auto"/>
          </w:tcPr>
          <w:p w:rsidR="00E5065C" w:rsidRPr="000E0370" w:rsidRDefault="00E410B9"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Emitir criterio legal para el tema de las indexaciones.</w:t>
            </w:r>
          </w:p>
        </w:tc>
        <w:tc>
          <w:tcPr>
            <w:tcW w:w="3118" w:type="dxa"/>
            <w:shd w:val="clear" w:color="auto" w:fill="auto"/>
          </w:tcPr>
          <w:p w:rsidR="00E5065C" w:rsidRPr="000E0370" w:rsidRDefault="00E410B9"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emite el criterio legal solicitado.</w:t>
            </w:r>
          </w:p>
        </w:tc>
      </w:tr>
      <w:tr w:rsidR="00E5065C" w:rsidRPr="000E0370" w:rsidTr="000E0370">
        <w:trPr>
          <w:trHeight w:val="361"/>
        </w:trPr>
        <w:tc>
          <w:tcPr>
            <w:tcW w:w="3085" w:type="dxa"/>
            <w:shd w:val="clear" w:color="auto" w:fill="auto"/>
          </w:tcPr>
          <w:p w:rsidR="00E5065C" w:rsidRPr="000E0370" w:rsidRDefault="00E410B9"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Análisis de normativa.</w:t>
            </w:r>
          </w:p>
        </w:tc>
        <w:tc>
          <w:tcPr>
            <w:tcW w:w="3119" w:type="dxa"/>
            <w:shd w:val="clear" w:color="auto" w:fill="auto"/>
          </w:tcPr>
          <w:p w:rsidR="00E5065C" w:rsidRPr="000E0370" w:rsidRDefault="00E410B9"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Determinación de leyes, normativas y contratos que afectan al Poder Judicial (específicamente al ámbito jurisdiccional) y que guarden relación con la seguridad de la información que específicamente es custodiada por la DTIC.</w:t>
            </w:r>
          </w:p>
        </w:tc>
        <w:tc>
          <w:tcPr>
            <w:tcW w:w="3118" w:type="dxa"/>
            <w:shd w:val="clear" w:color="auto" w:fill="auto"/>
          </w:tcPr>
          <w:p w:rsidR="00E5065C" w:rsidRPr="000E0370" w:rsidRDefault="00715DE4"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efectúa el análisis correspondiente y se traslada al órgano encargado para su valoración.</w:t>
            </w:r>
          </w:p>
        </w:tc>
      </w:tr>
      <w:tr w:rsidR="00E5065C" w:rsidRPr="000E0370" w:rsidTr="000E0370">
        <w:trPr>
          <w:trHeight w:val="361"/>
        </w:trPr>
        <w:tc>
          <w:tcPr>
            <w:tcW w:w="3085" w:type="dxa"/>
            <w:shd w:val="clear" w:color="auto" w:fill="auto"/>
          </w:tcPr>
          <w:p w:rsidR="00E5065C" w:rsidRPr="000E0370" w:rsidRDefault="00715DE4"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Propuesta de Reglamento.</w:t>
            </w:r>
          </w:p>
        </w:tc>
        <w:tc>
          <w:tcPr>
            <w:tcW w:w="3119" w:type="dxa"/>
            <w:shd w:val="clear" w:color="auto" w:fill="auto"/>
          </w:tcPr>
          <w:p w:rsidR="00E5065C" w:rsidRPr="000E0370" w:rsidRDefault="00715DE4"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Reglamento para la operatividad de la relación de los operadores y proveedores de servicios de telecomunicaciones, con el Centro Judicial de Intervenciones de las Comunicaciones y demás autoridades Judiciales y Policiales en materia penal.</w:t>
            </w:r>
          </w:p>
        </w:tc>
        <w:tc>
          <w:tcPr>
            <w:tcW w:w="3118" w:type="dxa"/>
            <w:shd w:val="clear" w:color="auto" w:fill="auto"/>
          </w:tcPr>
          <w:p w:rsidR="00E5065C" w:rsidRPr="000E0370" w:rsidRDefault="00E5065C" w:rsidP="000670D8">
            <w:pPr>
              <w:shd w:val="clear" w:color="auto" w:fill="FFFFFF"/>
              <w:spacing w:before="120" w:after="120" w:line="276" w:lineRule="auto"/>
              <w:jc w:val="both"/>
              <w:rPr>
                <w:rFonts w:ascii="Arial" w:hAnsi="Arial" w:cs="Arial"/>
                <w:color w:val="000000"/>
                <w:sz w:val="24"/>
                <w:szCs w:val="24"/>
                <w:lang w:eastAsia="es-CR"/>
              </w:rPr>
            </w:pPr>
          </w:p>
        </w:tc>
      </w:tr>
      <w:tr w:rsidR="00E5065C" w:rsidRPr="000E0370" w:rsidTr="000E0370">
        <w:trPr>
          <w:trHeight w:val="361"/>
        </w:trPr>
        <w:tc>
          <w:tcPr>
            <w:tcW w:w="3085" w:type="dxa"/>
            <w:shd w:val="clear" w:color="auto" w:fill="auto"/>
          </w:tcPr>
          <w:p w:rsidR="00E5065C" w:rsidRPr="000E0370" w:rsidRDefault="00715DE4"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Análisis</w:t>
            </w:r>
            <w:r w:rsidR="00E5065C" w:rsidRPr="000E0370">
              <w:rPr>
                <w:rFonts w:ascii="Arial" w:hAnsi="Arial" w:cs="Arial"/>
                <w:b/>
                <w:color w:val="000000"/>
                <w:sz w:val="24"/>
                <w:szCs w:val="24"/>
                <w:lang w:eastAsia="es-CR"/>
              </w:rPr>
              <w:t xml:space="preserve"> Jurídico</w:t>
            </w:r>
          </w:p>
        </w:tc>
        <w:tc>
          <w:tcPr>
            <w:tcW w:w="3119" w:type="dxa"/>
            <w:shd w:val="clear" w:color="auto" w:fill="auto"/>
          </w:tcPr>
          <w:p w:rsidR="00E5065C" w:rsidRPr="000E0370" w:rsidRDefault="00715DE4"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Análizar sobre las competencias de la Dirección de Gestión Humana para conocer de las deudas u obligaciones económicas del personal judicial, así como, si las personas encargadas del “Sistema de Alerta Temprana para detectar las personas que laboran para el Poder Judicial que tenga algún grado de vulnerabilidad ante la amenaza de corrupción (SAT-PJ)” pueden tener acceso –por medio de la Dirección de Gestión Humana- al porcentaje de endeudamiento del personal judicial, para los efectos de la labor anticorrupción que ese programa institucional tiene por objeto.</w:t>
            </w:r>
          </w:p>
        </w:tc>
        <w:tc>
          <w:tcPr>
            <w:tcW w:w="3118" w:type="dxa"/>
            <w:shd w:val="clear" w:color="auto" w:fill="auto"/>
          </w:tcPr>
          <w:p w:rsidR="00E5065C" w:rsidRPr="000E0370" w:rsidRDefault="00715DE4"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emite el análisis y se traslada a la Dirección de Gestión Humana para su conocimiento y valoración.</w:t>
            </w:r>
          </w:p>
        </w:tc>
      </w:tr>
      <w:tr w:rsidR="00E5065C" w:rsidRPr="000E0370" w:rsidTr="000E0370">
        <w:trPr>
          <w:trHeight w:val="361"/>
        </w:trPr>
        <w:tc>
          <w:tcPr>
            <w:tcW w:w="3085" w:type="dxa"/>
            <w:shd w:val="clear" w:color="auto" w:fill="auto"/>
          </w:tcPr>
          <w:p w:rsidR="00E5065C" w:rsidRPr="000E0370" w:rsidRDefault="00715DE4"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Análisis Jurídico</w:t>
            </w:r>
          </w:p>
        </w:tc>
        <w:tc>
          <w:tcPr>
            <w:tcW w:w="3119" w:type="dxa"/>
            <w:shd w:val="clear" w:color="auto" w:fill="auto"/>
          </w:tcPr>
          <w:p w:rsidR="00E5065C" w:rsidRPr="000E0370" w:rsidRDefault="00715DE4"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 xml:space="preserve">Análizar en relación con la negativa de la CCSS, de cancelar al Poder Judicial las diferencias o sumas que la Institución pagó de más por concepto de Licencia con Goce de Salario, alegando que al no existir convenio entre la Caja y el Poder Judicial, la relación de pago es entre la CCSS y la persona asegurada; así como, el análisis jurídico sobre la forma de proceder para la recuperación de la cuota patronal –del 9.25%- canceladas indebidamente por incapacidad o licencia, así como la recuperación de los montos adeudados por concepto de subsidio –por incapacidad o licencia-, considerando el plazo de prescripción para realizar el cobro. </w:t>
            </w:r>
          </w:p>
        </w:tc>
        <w:tc>
          <w:tcPr>
            <w:tcW w:w="3118" w:type="dxa"/>
            <w:shd w:val="clear" w:color="auto" w:fill="auto"/>
          </w:tcPr>
          <w:p w:rsidR="00E5065C" w:rsidRPr="000E0370" w:rsidRDefault="00715DE4"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emite el análisis y se traslada a la Dirección de Gestión Humana para su conocimiento y valoración.</w:t>
            </w:r>
          </w:p>
        </w:tc>
      </w:tr>
      <w:tr w:rsidR="00E5065C" w:rsidRPr="000E0370" w:rsidTr="000E0370">
        <w:trPr>
          <w:trHeight w:val="361"/>
        </w:trPr>
        <w:tc>
          <w:tcPr>
            <w:tcW w:w="3085" w:type="dxa"/>
            <w:shd w:val="clear" w:color="auto" w:fill="auto"/>
          </w:tcPr>
          <w:p w:rsidR="00E5065C" w:rsidRPr="000E0370" w:rsidRDefault="00E5065C" w:rsidP="000670D8">
            <w:pPr>
              <w:suppressAutoHyphens/>
              <w:spacing w:line="276" w:lineRule="auto"/>
              <w:jc w:val="both"/>
              <w:rPr>
                <w:rFonts w:ascii="Arial" w:hAnsi="Arial" w:cs="Arial"/>
                <w:b/>
                <w:color w:val="000000"/>
                <w:sz w:val="24"/>
                <w:szCs w:val="24"/>
                <w:lang w:eastAsia="es-CR"/>
              </w:rPr>
            </w:pPr>
            <w:r w:rsidRPr="000E0370">
              <w:rPr>
                <w:rFonts w:ascii="Arial" w:hAnsi="Arial" w:cs="Arial"/>
                <w:b/>
                <w:color w:val="000000"/>
                <w:sz w:val="24"/>
                <w:szCs w:val="24"/>
                <w:lang w:eastAsia="es-CR"/>
              </w:rPr>
              <w:t>Criterio Jurídico</w:t>
            </w:r>
          </w:p>
        </w:tc>
        <w:tc>
          <w:tcPr>
            <w:tcW w:w="3119" w:type="dxa"/>
            <w:shd w:val="clear" w:color="auto" w:fill="auto"/>
          </w:tcPr>
          <w:p w:rsidR="00E5065C" w:rsidRPr="000E0370" w:rsidRDefault="00715DE4"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Análizar en relación con el planteamiento que realiza la CCSS, sobre el trámite de las incapacidades de las personas servidoras judiciales y la presentación de la información contenida en las planillas salariales del Poder Judicial.</w:t>
            </w:r>
          </w:p>
        </w:tc>
        <w:tc>
          <w:tcPr>
            <w:tcW w:w="3118" w:type="dxa"/>
            <w:shd w:val="clear" w:color="auto" w:fill="auto"/>
          </w:tcPr>
          <w:p w:rsidR="00E5065C" w:rsidRPr="000E0370" w:rsidRDefault="00715DE4" w:rsidP="000670D8">
            <w:pPr>
              <w:shd w:val="clear" w:color="auto" w:fill="FFFFFF"/>
              <w:spacing w:before="120" w:after="120" w:line="276" w:lineRule="auto"/>
              <w:jc w:val="both"/>
              <w:rPr>
                <w:rFonts w:ascii="Arial" w:hAnsi="Arial" w:cs="Arial"/>
                <w:color w:val="000000"/>
                <w:sz w:val="24"/>
                <w:szCs w:val="24"/>
                <w:lang w:eastAsia="es-CR"/>
              </w:rPr>
            </w:pPr>
            <w:r w:rsidRPr="000E0370">
              <w:rPr>
                <w:rFonts w:ascii="Arial" w:hAnsi="Arial" w:cs="Arial"/>
                <w:color w:val="000000"/>
                <w:sz w:val="24"/>
                <w:szCs w:val="24"/>
                <w:lang w:eastAsia="es-CR"/>
              </w:rPr>
              <w:t>Se presenta el análisis requerido para su respectiva valoración.</w:t>
            </w:r>
          </w:p>
        </w:tc>
      </w:tr>
    </w:tbl>
    <w:p w:rsidR="00C277FA" w:rsidRPr="000E0370" w:rsidRDefault="00C277FA" w:rsidP="000670D8">
      <w:pPr>
        <w:suppressAutoHyphens/>
        <w:spacing w:line="276" w:lineRule="auto"/>
        <w:jc w:val="center"/>
        <w:rPr>
          <w:rFonts w:ascii="Arial" w:hAnsi="Arial" w:cs="Arial"/>
          <w:b/>
          <w:sz w:val="24"/>
          <w:szCs w:val="24"/>
          <w:highlight w:val="yellow"/>
        </w:rPr>
      </w:pPr>
    </w:p>
    <w:p w:rsidR="00107D85" w:rsidRPr="000E0370" w:rsidRDefault="00107D85" w:rsidP="000670D8">
      <w:pPr>
        <w:suppressAutoHyphens/>
        <w:spacing w:line="276" w:lineRule="auto"/>
        <w:jc w:val="center"/>
        <w:rPr>
          <w:rFonts w:ascii="Arial" w:hAnsi="Arial" w:cs="Arial"/>
          <w:b/>
          <w:sz w:val="24"/>
          <w:szCs w:val="24"/>
        </w:rPr>
      </w:pPr>
      <w:r w:rsidRPr="000E0370">
        <w:rPr>
          <w:rFonts w:ascii="Arial" w:hAnsi="Arial" w:cs="Arial"/>
          <w:b/>
          <w:sz w:val="24"/>
          <w:szCs w:val="24"/>
        </w:rPr>
        <w:t>Otros Proyectos Relevantes</w:t>
      </w:r>
    </w:p>
    <w:p w:rsidR="00107D85" w:rsidRPr="000E0370" w:rsidRDefault="00107D85" w:rsidP="000670D8">
      <w:pPr>
        <w:suppressAutoHyphens/>
        <w:spacing w:line="276" w:lineRule="auto"/>
        <w:jc w:val="center"/>
        <w:rPr>
          <w:rFonts w:ascii="Arial" w:hAnsi="Arial" w:cs="Arial"/>
          <w:b/>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4585"/>
      </w:tblGrid>
      <w:tr w:rsidR="00107D85" w:rsidRPr="000E0370" w:rsidTr="0030180A">
        <w:tc>
          <w:tcPr>
            <w:tcW w:w="4170" w:type="dxa"/>
          </w:tcPr>
          <w:p w:rsidR="00107D85" w:rsidRPr="000E0370" w:rsidRDefault="00107D85" w:rsidP="000670D8">
            <w:pPr>
              <w:suppressAutoHyphens/>
              <w:spacing w:line="276" w:lineRule="auto"/>
              <w:rPr>
                <w:rFonts w:ascii="Arial" w:hAnsi="Arial" w:cs="Arial"/>
                <w:sz w:val="24"/>
                <w:szCs w:val="24"/>
              </w:rPr>
            </w:pPr>
            <w:r w:rsidRPr="000E0370">
              <w:rPr>
                <w:rFonts w:ascii="Arial" w:hAnsi="Arial" w:cs="Arial"/>
                <w:b/>
                <w:sz w:val="24"/>
                <w:szCs w:val="24"/>
              </w:rPr>
              <w:t>Conflicto de Competencia, Expediente 15-000012-0004-FA, planteado por César Gómez Montoya y Sergio Artavia Barrantes, apoderados especiales de las empresas Cilindros para Gas S.A. y Gas Nacional Zeta, respectivamente.</w:t>
            </w:r>
          </w:p>
        </w:tc>
        <w:tc>
          <w:tcPr>
            <w:tcW w:w="4585" w:type="dxa"/>
          </w:tcPr>
          <w:p w:rsidR="00107D85" w:rsidRPr="000E0370" w:rsidRDefault="00107D85" w:rsidP="000670D8">
            <w:pPr>
              <w:pStyle w:val="Prrafodelista"/>
              <w:numPr>
                <w:ilvl w:val="0"/>
                <w:numId w:val="2"/>
              </w:numPr>
              <w:jc w:val="both"/>
              <w:rPr>
                <w:rFonts w:ascii="Arial" w:hAnsi="Arial" w:cs="Arial"/>
                <w:sz w:val="24"/>
                <w:szCs w:val="24"/>
              </w:rPr>
            </w:pPr>
            <w:r w:rsidRPr="000E0370">
              <w:rPr>
                <w:rFonts w:ascii="Arial" w:hAnsi="Arial" w:cs="Arial"/>
                <w:sz w:val="24"/>
                <w:szCs w:val="24"/>
              </w:rPr>
              <w:t>Trámite de Inhibitorias de Magistrados de la Corte Suprema de Justicia.</w:t>
            </w:r>
          </w:p>
          <w:p w:rsidR="00107D85" w:rsidRPr="000E0370" w:rsidRDefault="00107D85" w:rsidP="000670D8">
            <w:pPr>
              <w:pStyle w:val="Prrafodelista"/>
              <w:numPr>
                <w:ilvl w:val="0"/>
                <w:numId w:val="2"/>
              </w:numPr>
              <w:jc w:val="both"/>
              <w:rPr>
                <w:rFonts w:ascii="Arial" w:hAnsi="Arial" w:cs="Arial"/>
                <w:sz w:val="24"/>
                <w:szCs w:val="24"/>
              </w:rPr>
            </w:pPr>
            <w:r w:rsidRPr="000E0370">
              <w:rPr>
                <w:rFonts w:ascii="Arial" w:hAnsi="Arial" w:cs="Arial"/>
                <w:sz w:val="24"/>
                <w:szCs w:val="24"/>
              </w:rPr>
              <w:t>Resoluciones de aceptación de inhibitorias de Magistrados de la Corte Suprema de Justicia.</w:t>
            </w:r>
          </w:p>
          <w:p w:rsidR="00107D85" w:rsidRPr="000E0370" w:rsidRDefault="00107D85" w:rsidP="000670D8">
            <w:pPr>
              <w:pStyle w:val="Prrafodelista"/>
              <w:numPr>
                <w:ilvl w:val="0"/>
                <w:numId w:val="1"/>
              </w:numPr>
              <w:jc w:val="both"/>
              <w:rPr>
                <w:rFonts w:ascii="Arial" w:hAnsi="Arial" w:cs="Arial"/>
                <w:sz w:val="24"/>
                <w:szCs w:val="24"/>
              </w:rPr>
            </w:pPr>
            <w:r w:rsidRPr="000E0370">
              <w:rPr>
                <w:rFonts w:ascii="Arial" w:hAnsi="Arial" w:cs="Arial"/>
                <w:sz w:val="24"/>
                <w:szCs w:val="24"/>
              </w:rPr>
              <w:t>Solicitud de sorteos a la Secretaría General de la Corte para la integración del Tribunal de Corte Plena.</w:t>
            </w:r>
          </w:p>
          <w:p w:rsidR="00107D85" w:rsidRPr="000E0370" w:rsidRDefault="00107D85" w:rsidP="000670D8">
            <w:pPr>
              <w:pStyle w:val="Prrafodelista"/>
              <w:numPr>
                <w:ilvl w:val="0"/>
                <w:numId w:val="1"/>
              </w:numPr>
              <w:jc w:val="both"/>
              <w:rPr>
                <w:rFonts w:ascii="Arial" w:hAnsi="Arial" w:cs="Arial"/>
                <w:sz w:val="24"/>
                <w:szCs w:val="24"/>
              </w:rPr>
            </w:pPr>
            <w:r w:rsidRPr="000E0370">
              <w:rPr>
                <w:rFonts w:ascii="Arial" w:hAnsi="Arial" w:cs="Arial"/>
                <w:sz w:val="24"/>
                <w:szCs w:val="24"/>
              </w:rPr>
              <w:t>Trámite de recusaciones contra Magistrados de la Corte Suprema.</w:t>
            </w:r>
          </w:p>
          <w:p w:rsidR="00107D85" w:rsidRPr="000E0370" w:rsidRDefault="00715DE4" w:rsidP="000670D8">
            <w:pPr>
              <w:pStyle w:val="Prrafodelista"/>
              <w:numPr>
                <w:ilvl w:val="0"/>
                <w:numId w:val="1"/>
              </w:numPr>
              <w:jc w:val="both"/>
              <w:rPr>
                <w:rFonts w:ascii="Arial" w:hAnsi="Arial" w:cs="Arial"/>
                <w:sz w:val="24"/>
                <w:szCs w:val="24"/>
              </w:rPr>
            </w:pPr>
            <w:r w:rsidRPr="000E0370">
              <w:rPr>
                <w:rFonts w:ascii="Arial" w:hAnsi="Arial" w:cs="Arial"/>
                <w:sz w:val="24"/>
                <w:szCs w:val="24"/>
              </w:rPr>
              <w:t>Conclusión del proceso con la resolución final y notificación a cada una de las partes.</w:t>
            </w:r>
          </w:p>
        </w:tc>
      </w:tr>
      <w:tr w:rsidR="00107D85" w:rsidRPr="000E0370" w:rsidTr="0030180A">
        <w:tc>
          <w:tcPr>
            <w:tcW w:w="4170" w:type="dxa"/>
          </w:tcPr>
          <w:p w:rsidR="00107D85" w:rsidRPr="000E0370" w:rsidRDefault="00107D85" w:rsidP="000670D8">
            <w:pPr>
              <w:suppressAutoHyphens/>
              <w:spacing w:line="276" w:lineRule="auto"/>
              <w:rPr>
                <w:rFonts w:ascii="Arial" w:hAnsi="Arial" w:cs="Arial"/>
                <w:sz w:val="24"/>
                <w:szCs w:val="24"/>
              </w:rPr>
            </w:pPr>
            <w:r w:rsidRPr="000E0370">
              <w:rPr>
                <w:rFonts w:ascii="Arial" w:hAnsi="Arial" w:cs="Arial"/>
                <w:b/>
                <w:sz w:val="24"/>
                <w:szCs w:val="24"/>
              </w:rPr>
              <w:t>Co</w:t>
            </w:r>
            <w:r w:rsidR="00715DE4" w:rsidRPr="000E0370">
              <w:rPr>
                <w:rFonts w:ascii="Arial" w:hAnsi="Arial" w:cs="Arial"/>
                <w:b/>
                <w:sz w:val="24"/>
                <w:szCs w:val="24"/>
              </w:rPr>
              <w:t>laboración en la instrucción de procesos administrativos disciplinarios en contra de un Magistrado de la Corte Suprema de Justicia.</w:t>
            </w:r>
          </w:p>
        </w:tc>
        <w:tc>
          <w:tcPr>
            <w:tcW w:w="4585" w:type="dxa"/>
          </w:tcPr>
          <w:p w:rsidR="00715DE4" w:rsidRPr="000E0370" w:rsidRDefault="00715DE4" w:rsidP="000670D8">
            <w:pPr>
              <w:pStyle w:val="Prrafodelista"/>
              <w:numPr>
                <w:ilvl w:val="0"/>
                <w:numId w:val="1"/>
              </w:numPr>
              <w:jc w:val="both"/>
              <w:rPr>
                <w:rFonts w:ascii="Arial" w:hAnsi="Arial" w:cs="Arial"/>
                <w:sz w:val="24"/>
                <w:szCs w:val="24"/>
              </w:rPr>
            </w:pPr>
            <w:r w:rsidRPr="000E0370">
              <w:rPr>
                <w:rFonts w:ascii="Arial" w:hAnsi="Arial" w:cs="Arial"/>
                <w:sz w:val="24"/>
                <w:szCs w:val="24"/>
              </w:rPr>
              <w:t>Apoyo a los Magistrados encargados de la instrucción.</w:t>
            </w:r>
          </w:p>
          <w:p w:rsidR="00715DE4" w:rsidRPr="000E0370" w:rsidRDefault="00715DE4" w:rsidP="000670D8">
            <w:pPr>
              <w:pStyle w:val="Prrafodelista"/>
              <w:numPr>
                <w:ilvl w:val="0"/>
                <w:numId w:val="1"/>
              </w:numPr>
              <w:jc w:val="both"/>
              <w:rPr>
                <w:rFonts w:ascii="Arial" w:hAnsi="Arial" w:cs="Arial"/>
                <w:sz w:val="24"/>
                <w:szCs w:val="24"/>
              </w:rPr>
            </w:pPr>
            <w:r w:rsidRPr="000E0370">
              <w:rPr>
                <w:rFonts w:ascii="Arial" w:hAnsi="Arial" w:cs="Arial"/>
                <w:sz w:val="24"/>
                <w:szCs w:val="24"/>
              </w:rPr>
              <w:t>Notificación de partes.</w:t>
            </w:r>
          </w:p>
          <w:p w:rsidR="001A10D1" w:rsidRPr="000E0370" w:rsidRDefault="001A10D1" w:rsidP="000670D8">
            <w:pPr>
              <w:pStyle w:val="Prrafodelista"/>
              <w:numPr>
                <w:ilvl w:val="0"/>
                <w:numId w:val="1"/>
              </w:numPr>
              <w:jc w:val="both"/>
              <w:rPr>
                <w:rFonts w:ascii="Arial" w:hAnsi="Arial" w:cs="Arial"/>
                <w:sz w:val="24"/>
                <w:szCs w:val="24"/>
              </w:rPr>
            </w:pPr>
            <w:r w:rsidRPr="000E0370">
              <w:rPr>
                <w:rFonts w:ascii="Arial" w:hAnsi="Arial" w:cs="Arial"/>
                <w:sz w:val="24"/>
                <w:szCs w:val="24"/>
              </w:rPr>
              <w:t>Colaboración en la recaudación de pruebas.</w:t>
            </w:r>
          </w:p>
          <w:p w:rsidR="00107D85" w:rsidRPr="000E0370" w:rsidRDefault="001A10D1" w:rsidP="000670D8">
            <w:pPr>
              <w:pStyle w:val="Prrafodelista"/>
              <w:numPr>
                <w:ilvl w:val="0"/>
                <w:numId w:val="1"/>
              </w:numPr>
              <w:jc w:val="both"/>
              <w:rPr>
                <w:rFonts w:ascii="Arial" w:hAnsi="Arial" w:cs="Arial"/>
                <w:sz w:val="24"/>
                <w:szCs w:val="24"/>
              </w:rPr>
            </w:pPr>
            <w:r w:rsidRPr="000E0370">
              <w:rPr>
                <w:rFonts w:ascii="Arial" w:hAnsi="Arial" w:cs="Arial"/>
                <w:sz w:val="24"/>
                <w:szCs w:val="24"/>
              </w:rPr>
              <w:t>Rendición de informes jurídicos acerca de las quejas planteadas</w:t>
            </w:r>
            <w:r w:rsidR="00107D85" w:rsidRPr="000E0370">
              <w:rPr>
                <w:rFonts w:ascii="Arial" w:hAnsi="Arial" w:cs="Arial"/>
                <w:sz w:val="24"/>
                <w:szCs w:val="24"/>
              </w:rPr>
              <w:t xml:space="preserve"> </w:t>
            </w:r>
          </w:p>
          <w:p w:rsidR="00107D85" w:rsidRPr="000E0370" w:rsidRDefault="00107D85" w:rsidP="000670D8">
            <w:pPr>
              <w:suppressAutoHyphens/>
              <w:spacing w:line="276" w:lineRule="auto"/>
              <w:jc w:val="both"/>
              <w:rPr>
                <w:rFonts w:ascii="Arial" w:hAnsi="Arial" w:cs="Arial"/>
                <w:sz w:val="24"/>
                <w:szCs w:val="24"/>
              </w:rPr>
            </w:pPr>
          </w:p>
        </w:tc>
      </w:tr>
    </w:tbl>
    <w:p w:rsidR="00107D85" w:rsidRPr="00DF7856" w:rsidRDefault="00107D85" w:rsidP="000670D8">
      <w:pPr>
        <w:suppressAutoHyphens/>
        <w:spacing w:line="276" w:lineRule="auto"/>
        <w:jc w:val="center"/>
        <w:rPr>
          <w:rFonts w:ascii="Arial" w:hAnsi="Arial" w:cs="Arial"/>
        </w:rPr>
      </w:pPr>
    </w:p>
    <w:sectPr w:rsidR="00107D85" w:rsidRPr="00DF7856" w:rsidSect="00676890">
      <w:headerReference w:type="default" r:id="rId8"/>
      <w:footerReference w:type="default" r:id="rId9"/>
      <w:footnotePr>
        <w:pos w:val="beneathText"/>
      </w:footnotePr>
      <w:pgSz w:w="12240" w:h="15840"/>
      <w:pgMar w:top="2796" w:right="1418" w:bottom="1559" w:left="1701" w:header="1418"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353" w:rsidRDefault="005A7353">
      <w:r>
        <w:separator/>
      </w:r>
    </w:p>
  </w:endnote>
  <w:endnote w:type="continuationSeparator" w:id="0">
    <w:p w:rsidR="005A7353" w:rsidRDefault="005A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890" w:rsidRPr="00A34417" w:rsidRDefault="00676890">
    <w:pPr>
      <w:pStyle w:val="Piedepgina"/>
      <w:jc w:val="center"/>
      <w:rPr>
        <w:b/>
        <w:lang w:val="es-ES_tradnl"/>
      </w:rPr>
    </w:pPr>
    <w:r w:rsidRPr="00A34417">
      <w:rPr>
        <w:b/>
        <w:lang w:val="es-ES_tradnl"/>
      </w:rPr>
      <w:t>Teléfonos: 2211-98-30 y 2211-98-31</w:t>
    </w:r>
    <w:r>
      <w:rPr>
        <w:b/>
        <w:lang w:val="es-ES_tradnl"/>
      </w:rPr>
      <w:t xml:space="preserve"> </w:t>
    </w:r>
    <w:r w:rsidRPr="00A34417">
      <w:rPr>
        <w:b/>
        <w:lang w:val="es-ES_tradnl"/>
      </w:rPr>
      <w:t xml:space="preserve"> Correo: </w:t>
    </w:r>
    <w:hyperlink r:id="rId1" w:history="1">
      <w:r w:rsidRPr="00A34417">
        <w:rPr>
          <w:rStyle w:val="Hipervnculo"/>
        </w:rPr>
        <w:t>direccion_juridica@poder-judicial.go.cr</w:t>
      </w:r>
    </w:hyperlink>
    <w:r w:rsidRPr="00A34417">
      <w:rPr>
        <w:b/>
      </w:rPr>
      <w:t xml:space="preserve"> </w:t>
    </w:r>
    <w:r w:rsidRPr="00A34417">
      <w:rPr>
        <w:b/>
        <w:lang w:val="es-ES_tradnl"/>
      </w:rPr>
      <w:t xml:space="preserve">   Fax: 2256-56-68</w:t>
    </w:r>
  </w:p>
  <w:p w:rsidR="00676890" w:rsidRPr="00FA7CFE" w:rsidRDefault="00676890">
    <w:pPr>
      <w:pStyle w:val="Piedepgina"/>
      <w:jc w:val="center"/>
      <w:rPr>
        <w:b/>
        <w:bCs/>
        <w:sz w:val="16"/>
        <w:szCs w:val="16"/>
        <w:lang w:val="es-ES_tradnl"/>
      </w:rPr>
    </w:pPr>
  </w:p>
  <w:p w:rsidR="00676890" w:rsidRPr="00FA7CFE" w:rsidRDefault="009C0A96">
    <w:pPr>
      <w:jc w:val="center"/>
      <w:rPr>
        <w:sz w:val="16"/>
        <w:szCs w:val="16"/>
      </w:rPr>
    </w:pPr>
    <w:r w:rsidRPr="00FA7CFE">
      <w:rPr>
        <w:b/>
        <w:sz w:val="16"/>
        <w:szCs w:val="16"/>
      </w:rPr>
      <w:fldChar w:fldCharType="begin"/>
    </w:r>
    <w:r w:rsidR="00676890" w:rsidRPr="00FA7CFE">
      <w:rPr>
        <w:b/>
        <w:sz w:val="16"/>
        <w:szCs w:val="16"/>
      </w:rPr>
      <w:instrText xml:space="preserve"> PAGE </w:instrText>
    </w:r>
    <w:r w:rsidRPr="00FA7CFE">
      <w:rPr>
        <w:b/>
        <w:sz w:val="16"/>
        <w:szCs w:val="16"/>
      </w:rPr>
      <w:fldChar w:fldCharType="separate"/>
    </w:r>
    <w:r w:rsidR="00E45EF3">
      <w:rPr>
        <w:b/>
        <w:noProof/>
        <w:sz w:val="16"/>
        <w:szCs w:val="16"/>
      </w:rPr>
      <w:t>1</w:t>
    </w:r>
    <w:r w:rsidRPr="00FA7CFE">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353" w:rsidRDefault="005A7353">
      <w:r>
        <w:separator/>
      </w:r>
    </w:p>
  </w:footnote>
  <w:footnote w:type="continuationSeparator" w:id="0">
    <w:p w:rsidR="005A7353" w:rsidRDefault="005A7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890" w:rsidRDefault="00615B78">
    <w:pPr>
      <w:pStyle w:val="Encabezado"/>
      <w:tabs>
        <w:tab w:val="clear" w:pos="4320"/>
        <w:tab w:val="clear" w:pos="8640"/>
        <w:tab w:val="left" w:pos="709"/>
        <w:tab w:val="center" w:pos="4419"/>
        <w:tab w:val="right" w:pos="8838"/>
      </w:tabs>
      <w:rPr>
        <w:rFonts w:cs="Times New Roman"/>
        <w:u w:val="none"/>
        <w:shd w:val="clear" w:color="auto" w:fill="auto"/>
        <w:lang w:val="es-CR"/>
      </w:rPr>
    </w:pPr>
    <w:r>
      <w:rPr>
        <w:noProof/>
        <w:lang w:eastAsia="es-ES"/>
      </w:rPr>
      <mc:AlternateContent>
        <mc:Choice Requires="wps">
          <w:drawing>
            <wp:anchor distT="0" distB="0" distL="114935" distR="114935" simplePos="0" relativeHeight="251657728" behindDoc="1" locked="0" layoutInCell="1" allowOverlap="1">
              <wp:simplePos x="0" y="0"/>
              <wp:positionH relativeFrom="column">
                <wp:posOffset>0</wp:posOffset>
              </wp:positionH>
              <wp:positionV relativeFrom="paragraph">
                <wp:posOffset>-6985</wp:posOffset>
              </wp:positionV>
              <wp:extent cx="672465" cy="755015"/>
              <wp:effectExtent l="0" t="2540"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890" w:rsidRDefault="0059491D">
                          <w:r>
                            <w:rPr>
                              <w:noProof/>
                              <w:lang w:val="es-ES"/>
                            </w:rPr>
                            <w:drawing>
                              <wp:inline distT="0" distB="0" distL="0" distR="0">
                                <wp:extent cx="675640" cy="7556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5640" cy="755650"/>
                                        </a:xfrm>
                                        <a:prstGeom prst="rect">
                                          <a:avLst/>
                                        </a:prstGeom>
                                        <a:solidFill>
                                          <a:srgbClr val="FFFFFF"/>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5pt;width:52.95pt;height:59.4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" stroked="f">
              <v:textbox inset="0,0,0,0">
                <w:txbxContent>
                  <w:p w:rsidR="00676890" w:rsidRDefault="0059491D">
                    <w:r>
                      <w:rPr>
                        <w:noProof/>
                        <w:lang w:val="es-ES"/>
                      </w:rPr>
                      <w:drawing>
                        <wp:inline distT="0" distB="0" distL="0" distR="0">
                          <wp:extent cx="675640" cy="7556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5640" cy="755650"/>
                                  </a:xfrm>
                                  <a:prstGeom prst="rect">
                                    <a:avLst/>
                                  </a:prstGeom>
                                  <a:solidFill>
                                    <a:srgbClr val="FFFFFF"/>
                                  </a:solidFill>
                                  <a:ln w="9525">
                                    <a:noFill/>
                                    <a:miter lim="800000"/>
                                    <a:headEnd/>
                                    <a:tailEnd/>
                                  </a:ln>
                                </pic:spPr>
                              </pic:pic>
                            </a:graphicData>
                          </a:graphic>
                        </wp:inline>
                      </w:drawing>
                    </w:r>
                  </w:p>
                </w:txbxContent>
              </v:textbox>
            </v:shape>
          </w:pict>
        </mc:Fallback>
      </mc:AlternateContent>
    </w:r>
  </w:p>
  <w:p w:rsidR="00676890" w:rsidRDefault="00676890">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rsidR="00676890" w:rsidRDefault="00676890">
    <w:pPr>
      <w:rPr>
        <w:b/>
        <w:bCs/>
        <w:i/>
        <w:iCs/>
        <w:lang w:val="es-ES_tradnl"/>
      </w:rPr>
    </w:pPr>
    <w:r>
      <w:rPr>
        <w:b/>
        <w:bCs/>
        <w:i/>
        <w:iCs/>
        <w:lang w:val="es-ES_tradnl"/>
      </w:rPr>
      <w:t xml:space="preserve">                           </w:t>
    </w:r>
    <w:smartTag w:uri="urn:schemas-microsoft-com:office:smarttags" w:element="PersonName">
      <w:r>
        <w:rPr>
          <w:b/>
          <w:bCs/>
          <w:i/>
          <w:iCs/>
          <w:lang w:val="es-ES_tradnl"/>
        </w:rPr>
        <w:t>Dirección Jurídica</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D7045"/>
    <w:multiLevelType w:val="hybridMultilevel"/>
    <w:tmpl w:val="A2841126"/>
    <w:lvl w:ilvl="0" w:tplc="52A4DC2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07B1B14"/>
    <w:multiLevelType w:val="hybridMultilevel"/>
    <w:tmpl w:val="5A76E5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16F63EA"/>
    <w:multiLevelType w:val="hybridMultilevel"/>
    <w:tmpl w:val="CC82222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A93476D"/>
    <w:multiLevelType w:val="hybridMultilevel"/>
    <w:tmpl w:val="B1B84C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74D150FD"/>
    <w:multiLevelType w:val="hybridMultilevel"/>
    <w:tmpl w:val="D3F29D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91"/>
    <w:rsid w:val="00001848"/>
    <w:rsid w:val="00010317"/>
    <w:rsid w:val="00011A10"/>
    <w:rsid w:val="00052E4B"/>
    <w:rsid w:val="00064D0B"/>
    <w:rsid w:val="000670D8"/>
    <w:rsid w:val="00077B5A"/>
    <w:rsid w:val="00080C75"/>
    <w:rsid w:val="0008710A"/>
    <w:rsid w:val="000910BA"/>
    <w:rsid w:val="00095377"/>
    <w:rsid w:val="000C052F"/>
    <w:rsid w:val="000C2FDA"/>
    <w:rsid w:val="000D06CA"/>
    <w:rsid w:val="000D784F"/>
    <w:rsid w:val="000E0370"/>
    <w:rsid w:val="000F1B89"/>
    <w:rsid w:val="000F3BB3"/>
    <w:rsid w:val="00107D85"/>
    <w:rsid w:val="00132E01"/>
    <w:rsid w:val="00146F33"/>
    <w:rsid w:val="00152A03"/>
    <w:rsid w:val="00177CC8"/>
    <w:rsid w:val="00180D03"/>
    <w:rsid w:val="001947C8"/>
    <w:rsid w:val="001A10D1"/>
    <w:rsid w:val="001D2F87"/>
    <w:rsid w:val="001D4B0F"/>
    <w:rsid w:val="002001A8"/>
    <w:rsid w:val="00227295"/>
    <w:rsid w:val="00257F75"/>
    <w:rsid w:val="00262B47"/>
    <w:rsid w:val="00272F39"/>
    <w:rsid w:val="002753F1"/>
    <w:rsid w:val="00281D29"/>
    <w:rsid w:val="00282F1C"/>
    <w:rsid w:val="002A05F3"/>
    <w:rsid w:val="002C247E"/>
    <w:rsid w:val="002E1C0C"/>
    <w:rsid w:val="002E2D41"/>
    <w:rsid w:val="002E3FF8"/>
    <w:rsid w:val="002E77ED"/>
    <w:rsid w:val="0030180A"/>
    <w:rsid w:val="0033117C"/>
    <w:rsid w:val="0034131B"/>
    <w:rsid w:val="0034248C"/>
    <w:rsid w:val="0036704D"/>
    <w:rsid w:val="00370321"/>
    <w:rsid w:val="003A5B61"/>
    <w:rsid w:val="003C4095"/>
    <w:rsid w:val="003E2D9A"/>
    <w:rsid w:val="003E5516"/>
    <w:rsid w:val="003E712A"/>
    <w:rsid w:val="003F485E"/>
    <w:rsid w:val="003F5776"/>
    <w:rsid w:val="003F7685"/>
    <w:rsid w:val="00420503"/>
    <w:rsid w:val="004330F2"/>
    <w:rsid w:val="0043398A"/>
    <w:rsid w:val="00437DA5"/>
    <w:rsid w:val="00440495"/>
    <w:rsid w:val="004433A9"/>
    <w:rsid w:val="004561B8"/>
    <w:rsid w:val="0046294E"/>
    <w:rsid w:val="00466413"/>
    <w:rsid w:val="00494A88"/>
    <w:rsid w:val="004A0EE4"/>
    <w:rsid w:val="004A2CDD"/>
    <w:rsid w:val="004E0BE1"/>
    <w:rsid w:val="004E30EF"/>
    <w:rsid w:val="005143D8"/>
    <w:rsid w:val="0053664E"/>
    <w:rsid w:val="005525D6"/>
    <w:rsid w:val="00553ADE"/>
    <w:rsid w:val="005618EF"/>
    <w:rsid w:val="00567EFC"/>
    <w:rsid w:val="005716E5"/>
    <w:rsid w:val="005802E7"/>
    <w:rsid w:val="005876CB"/>
    <w:rsid w:val="00590C04"/>
    <w:rsid w:val="00591F17"/>
    <w:rsid w:val="0059491D"/>
    <w:rsid w:val="005A0DBA"/>
    <w:rsid w:val="005A7353"/>
    <w:rsid w:val="005B4FB3"/>
    <w:rsid w:val="005C16D8"/>
    <w:rsid w:val="005D527E"/>
    <w:rsid w:val="005F5028"/>
    <w:rsid w:val="00604764"/>
    <w:rsid w:val="006066F1"/>
    <w:rsid w:val="00615B78"/>
    <w:rsid w:val="00645663"/>
    <w:rsid w:val="00647A19"/>
    <w:rsid w:val="006570A5"/>
    <w:rsid w:val="0066531A"/>
    <w:rsid w:val="00672327"/>
    <w:rsid w:val="006764A9"/>
    <w:rsid w:val="00676890"/>
    <w:rsid w:val="00691E60"/>
    <w:rsid w:val="0069241B"/>
    <w:rsid w:val="006A50D9"/>
    <w:rsid w:val="006D306A"/>
    <w:rsid w:val="006E05E1"/>
    <w:rsid w:val="007146F1"/>
    <w:rsid w:val="00715DE4"/>
    <w:rsid w:val="00730413"/>
    <w:rsid w:val="00747CE4"/>
    <w:rsid w:val="00793CA9"/>
    <w:rsid w:val="007D1219"/>
    <w:rsid w:val="007D27AB"/>
    <w:rsid w:val="007E7FC7"/>
    <w:rsid w:val="0081141F"/>
    <w:rsid w:val="00817C56"/>
    <w:rsid w:val="00822383"/>
    <w:rsid w:val="008312C7"/>
    <w:rsid w:val="0086407B"/>
    <w:rsid w:val="008B255F"/>
    <w:rsid w:val="008B4ED7"/>
    <w:rsid w:val="008B6481"/>
    <w:rsid w:val="008B67C5"/>
    <w:rsid w:val="008C0391"/>
    <w:rsid w:val="008D5D41"/>
    <w:rsid w:val="008E3D0F"/>
    <w:rsid w:val="008E77B7"/>
    <w:rsid w:val="008F64E2"/>
    <w:rsid w:val="00906899"/>
    <w:rsid w:val="00917B9F"/>
    <w:rsid w:val="0092636C"/>
    <w:rsid w:val="009526E2"/>
    <w:rsid w:val="009637BE"/>
    <w:rsid w:val="0098449D"/>
    <w:rsid w:val="0098677C"/>
    <w:rsid w:val="00992F1F"/>
    <w:rsid w:val="009936F7"/>
    <w:rsid w:val="009A657D"/>
    <w:rsid w:val="009B61E4"/>
    <w:rsid w:val="009C0A96"/>
    <w:rsid w:val="009D6BE9"/>
    <w:rsid w:val="00A0648A"/>
    <w:rsid w:val="00A117F0"/>
    <w:rsid w:val="00A21DF6"/>
    <w:rsid w:val="00A3414A"/>
    <w:rsid w:val="00A44A3F"/>
    <w:rsid w:val="00A55ED9"/>
    <w:rsid w:val="00A755E2"/>
    <w:rsid w:val="00AC23C1"/>
    <w:rsid w:val="00AD09AD"/>
    <w:rsid w:val="00AD3099"/>
    <w:rsid w:val="00B0582C"/>
    <w:rsid w:val="00B11CE8"/>
    <w:rsid w:val="00B45986"/>
    <w:rsid w:val="00B500C9"/>
    <w:rsid w:val="00B5095E"/>
    <w:rsid w:val="00B54277"/>
    <w:rsid w:val="00B57A15"/>
    <w:rsid w:val="00B64773"/>
    <w:rsid w:val="00B9204F"/>
    <w:rsid w:val="00B94D08"/>
    <w:rsid w:val="00C012A7"/>
    <w:rsid w:val="00C12B04"/>
    <w:rsid w:val="00C277FA"/>
    <w:rsid w:val="00C363BC"/>
    <w:rsid w:val="00C522A1"/>
    <w:rsid w:val="00C52E58"/>
    <w:rsid w:val="00C55F36"/>
    <w:rsid w:val="00C727C5"/>
    <w:rsid w:val="00CF76B9"/>
    <w:rsid w:val="00D0247E"/>
    <w:rsid w:val="00D03A20"/>
    <w:rsid w:val="00D043F2"/>
    <w:rsid w:val="00D149C7"/>
    <w:rsid w:val="00D1506E"/>
    <w:rsid w:val="00D227C5"/>
    <w:rsid w:val="00D258BB"/>
    <w:rsid w:val="00D2652C"/>
    <w:rsid w:val="00D42CD8"/>
    <w:rsid w:val="00D73F9B"/>
    <w:rsid w:val="00D75752"/>
    <w:rsid w:val="00D94F6B"/>
    <w:rsid w:val="00DA5185"/>
    <w:rsid w:val="00DB11EE"/>
    <w:rsid w:val="00DF7856"/>
    <w:rsid w:val="00E0356D"/>
    <w:rsid w:val="00E117D2"/>
    <w:rsid w:val="00E22E46"/>
    <w:rsid w:val="00E309F9"/>
    <w:rsid w:val="00E3750D"/>
    <w:rsid w:val="00E37A95"/>
    <w:rsid w:val="00E410B9"/>
    <w:rsid w:val="00E43C0F"/>
    <w:rsid w:val="00E45EF3"/>
    <w:rsid w:val="00E477A9"/>
    <w:rsid w:val="00E5065C"/>
    <w:rsid w:val="00E53517"/>
    <w:rsid w:val="00E6182D"/>
    <w:rsid w:val="00E63329"/>
    <w:rsid w:val="00E708EF"/>
    <w:rsid w:val="00EC4496"/>
    <w:rsid w:val="00ED0B47"/>
    <w:rsid w:val="00EE60E7"/>
    <w:rsid w:val="00EF33AE"/>
    <w:rsid w:val="00F1377A"/>
    <w:rsid w:val="00F272C8"/>
    <w:rsid w:val="00F34FA3"/>
    <w:rsid w:val="00F364E6"/>
    <w:rsid w:val="00F42C47"/>
    <w:rsid w:val="00F459A2"/>
    <w:rsid w:val="00F6599B"/>
    <w:rsid w:val="00F70479"/>
    <w:rsid w:val="00F767DD"/>
    <w:rsid w:val="00F87443"/>
    <w:rsid w:val="00F96C00"/>
    <w:rsid w:val="00F97794"/>
    <w:rsid w:val="00FA14C8"/>
    <w:rsid w:val="00FB297C"/>
    <w:rsid w:val="00FC5381"/>
    <w:rsid w:val="00FD1A29"/>
    <w:rsid w:val="00FE4AF6"/>
    <w:rsid w:val="00FF260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F578FE8B-4D51-4FD4-BF55-13F91929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7C"/>
    <w:rPr>
      <w:lang w:eastAsia="es-ES"/>
    </w:rPr>
  </w:style>
  <w:style w:type="paragraph" w:styleId="Ttulo1">
    <w:name w:val="heading 1"/>
    <w:basedOn w:val="Normal"/>
    <w:next w:val="Normal"/>
    <w:qFormat/>
    <w:rsid w:val="008C0391"/>
    <w:pPr>
      <w:keepNext/>
      <w:outlineLvl w:val="0"/>
    </w:pPr>
    <w:rPr>
      <w:rFonts w:ascii="Arial Narrow" w:hAnsi="Arial Narrow"/>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C0391"/>
    <w:pPr>
      <w:tabs>
        <w:tab w:val="center" w:pos="4252"/>
        <w:tab w:val="right" w:pos="8504"/>
      </w:tabs>
    </w:pPr>
  </w:style>
  <w:style w:type="character" w:styleId="Nmerodepgina">
    <w:name w:val="page number"/>
    <w:basedOn w:val="Fuentedeprrafopredeter"/>
    <w:rsid w:val="008C0391"/>
  </w:style>
  <w:style w:type="character" w:styleId="Hipervnculo">
    <w:name w:val="Hyperlink"/>
    <w:rsid w:val="00DA5185"/>
    <w:rPr>
      <w:color w:val="000080"/>
      <w:u w:val="single"/>
    </w:rPr>
  </w:style>
  <w:style w:type="paragraph" w:styleId="Encabezado">
    <w:name w:val="header"/>
    <w:basedOn w:val="Normal"/>
    <w:rsid w:val="00DA5185"/>
    <w:pPr>
      <w:widowControl w:val="0"/>
      <w:tabs>
        <w:tab w:val="center" w:pos="4320"/>
        <w:tab w:val="right" w:pos="8640"/>
      </w:tabs>
      <w:suppressAutoHyphens/>
      <w:autoSpaceDE w:val="0"/>
    </w:pPr>
    <w:rPr>
      <w:rFonts w:ascii="Arial" w:hAnsi="Arial" w:cs="Arial"/>
      <w:sz w:val="24"/>
      <w:szCs w:val="24"/>
      <w:u w:val="single"/>
      <w:shd w:val="clear" w:color="auto" w:fill="FFFFFF"/>
      <w:lang w:val="es-ES" w:eastAsia="ar-SA"/>
    </w:rPr>
  </w:style>
  <w:style w:type="table" w:styleId="Tablaconcuadrcula">
    <w:name w:val="Table Grid"/>
    <w:basedOn w:val="Tablanormal"/>
    <w:rsid w:val="00DA518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
    <w:name w:val="Car Car Car Car"/>
    <w:basedOn w:val="Normal"/>
    <w:rsid w:val="00DA5185"/>
    <w:pPr>
      <w:spacing w:after="160" w:line="240" w:lineRule="exact"/>
    </w:pPr>
    <w:rPr>
      <w:rFonts w:ascii="Verdana" w:hAnsi="Verdana" w:cs="Verdana"/>
      <w:lang w:val="en-US" w:eastAsia="en-US"/>
    </w:rPr>
  </w:style>
  <w:style w:type="paragraph" w:customStyle="1" w:styleId="Car">
    <w:name w:val="Car"/>
    <w:basedOn w:val="Normal"/>
    <w:semiHidden/>
    <w:rsid w:val="0033117C"/>
    <w:pPr>
      <w:spacing w:after="160" w:line="240" w:lineRule="exact"/>
    </w:pPr>
    <w:rPr>
      <w:rFonts w:ascii="Verdana" w:hAnsi="Verdana"/>
      <w:szCs w:val="21"/>
      <w:lang w:val="en-AU" w:eastAsia="en-US"/>
    </w:rPr>
  </w:style>
  <w:style w:type="paragraph" w:styleId="Textoindependiente">
    <w:name w:val="Body Text"/>
    <w:basedOn w:val="Normal"/>
    <w:link w:val="TextoindependienteCar"/>
    <w:rsid w:val="005143D8"/>
    <w:pPr>
      <w:widowControl w:val="0"/>
      <w:autoSpaceDE w:val="0"/>
      <w:autoSpaceDN w:val="0"/>
      <w:spacing w:before="216"/>
      <w:jc w:val="center"/>
    </w:pPr>
    <w:rPr>
      <w:rFonts w:ascii="Bookman Old Style" w:hAnsi="Bookman Old Style"/>
      <w:b/>
      <w:bCs/>
      <w:spacing w:val="8"/>
      <w:sz w:val="24"/>
      <w:szCs w:val="26"/>
      <w:lang w:val="es-ES_tradnl"/>
    </w:rPr>
  </w:style>
  <w:style w:type="character" w:customStyle="1" w:styleId="TextoindependienteCar">
    <w:name w:val="Texto independiente Car"/>
    <w:link w:val="Textoindependiente"/>
    <w:rsid w:val="005143D8"/>
    <w:rPr>
      <w:rFonts w:ascii="Bookman Old Style" w:hAnsi="Bookman Old Style"/>
      <w:b/>
      <w:bCs/>
      <w:spacing w:val="8"/>
      <w:sz w:val="24"/>
      <w:szCs w:val="26"/>
      <w:lang w:val="es-ES_tradnl" w:eastAsia="es-ES"/>
    </w:rPr>
  </w:style>
  <w:style w:type="paragraph" w:styleId="Prrafodelista">
    <w:name w:val="List Paragraph"/>
    <w:basedOn w:val="Normal"/>
    <w:uiPriority w:val="34"/>
    <w:qFormat/>
    <w:rsid w:val="00107D85"/>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98449D"/>
    <w:rPr>
      <w:rFonts w:ascii="Tahoma" w:hAnsi="Tahoma" w:cs="Tahoma"/>
      <w:sz w:val="16"/>
      <w:szCs w:val="16"/>
    </w:rPr>
  </w:style>
  <w:style w:type="character" w:customStyle="1" w:styleId="TextodegloboCar">
    <w:name w:val="Texto de globo Car"/>
    <w:basedOn w:val="Fuentedeprrafopredeter"/>
    <w:link w:val="Textodeglobo"/>
    <w:rsid w:val="0098449D"/>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reccion_juridic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EEC97-9B48-46BE-9F46-D4DE970B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3828</Words>
  <Characters>21056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Resumen de Proyectos</vt:lpstr>
    </vt:vector>
  </TitlesOfParts>
  <Company>.</Company>
  <LinksUpToDate>false</LinksUpToDate>
  <CharactersWithSpaces>24835</CharactersWithSpaces>
  <SharedDoc>false</SharedDoc>
  <HLinks>
    <vt:vector size="6" baseType="variant">
      <vt:variant>
        <vt:i4>4849737</vt:i4>
      </vt:variant>
      <vt:variant>
        <vt:i4>0</vt:i4>
      </vt:variant>
      <vt:variant>
        <vt:i4>0</vt:i4>
      </vt:variant>
      <vt:variant>
        <vt:i4>5</vt:i4>
      </vt:variant>
      <vt:variant>
        <vt:lpwstr>mailto:direccion_juridica@poder-judicial.go.cr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Proyectos</dc:title>
  <dc:creator>mcorderos</dc:creator>
  <cp:lastModifiedBy>Jorge Brenes Arguedas</cp:lastModifiedBy>
  <cp:revision>1</cp:revision>
  <cp:lastPrinted>2016-12-21T15:36:00Z</cp:lastPrinted>
  <dcterms:created xsi:type="dcterms:W3CDTF">2018-06-27T20:44:00Z</dcterms:created>
  <dcterms:modified xsi:type="dcterms:W3CDTF">2018-06-27T20:44:00Z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