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313" w:type="dxa"/>
          <w:left w:w="313" w:type="dxa"/>
          <w:bottom w:w="313" w:type="dxa"/>
          <w:right w:w="313" w:type="dxa"/>
        </w:tblCellMar>
        <w:tblLook w:val="04A0"/>
      </w:tblPr>
      <w:tblGrid>
        <w:gridCol w:w="8453"/>
      </w:tblGrid>
      <w:tr w:rsidR="00DE2DCC" w:rsidRPr="00DE2DCC" w:rsidTr="00DE2DCC">
        <w:trPr>
          <w:tblCellSpacing w:w="15" w:type="dxa"/>
        </w:trPr>
        <w:tc>
          <w:tcPr>
            <w:tcW w:w="0" w:type="auto"/>
            <w:tcMar>
              <w:top w:w="0" w:type="dxa"/>
              <w:left w:w="0" w:type="dxa"/>
              <w:bottom w:w="0" w:type="dxa"/>
              <w:right w:w="0" w:type="dxa"/>
            </w:tcMar>
            <w:vAlign w:val="center"/>
          </w:tcPr>
          <w:p w:rsidR="00DE2DCC" w:rsidRPr="00DE2DCC" w:rsidRDefault="00DE2DCC" w:rsidP="00DE2DCC">
            <w:pPr>
              <w:spacing w:before="60" w:after="0"/>
              <w:ind w:left="1080" w:firstLine="840"/>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Reglamento de la Dirección Jurídica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jc w:val="center"/>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A LAS INSTITUCIONES, ABOGADAS, ABOGADOS,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jc w:val="center"/>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DESPACHOS JUDICIALES DEL PAÍS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jc w:val="center"/>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Y PÚBLICO EN GENERAL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jc w:val="center"/>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SE LES HACE SABER QUE: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La Corte Plena en sesión 47-14, celebrada el 6 de octubre de 2014, artículo XXXII, aprobó el siguiente "Reglamento de la Dirección Jurídica del Poder Judicial", cuyo texto literalmente dice: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jc w:val="center"/>
              <w:rPr>
                <w:rFonts w:ascii="Verdana" w:eastAsia="Times New Roman" w:hAnsi="Verdana" w:cs="Arial"/>
                <w:color w:val="000000"/>
                <w:sz w:val="20"/>
                <w:szCs w:val="20"/>
                <w:lang w:eastAsia="es-CR"/>
              </w:rPr>
            </w:pPr>
            <w:r w:rsidRPr="00DE2DCC">
              <w:rPr>
                <w:rFonts w:ascii="Verdana" w:eastAsia="Times New Roman" w:hAnsi="Verdana" w:cs="Arial"/>
                <w:b/>
                <w:bCs/>
                <w:color w:val="000000"/>
                <w:sz w:val="20"/>
                <w:szCs w:val="20"/>
                <w:lang w:eastAsia="es-CR"/>
              </w:rPr>
              <w:t xml:space="preserve">"Reglamento de la Dirección Jurídica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jc w:val="both"/>
              <w:rPr>
                <w:rFonts w:ascii="Verdana" w:eastAsia="Times New Roman" w:hAnsi="Verdana" w:cs="Arial"/>
                <w:color w:val="000000"/>
                <w:sz w:val="20"/>
                <w:szCs w:val="20"/>
                <w:lang w:eastAsia="es-CR"/>
              </w:rPr>
            </w:pPr>
            <w:r w:rsidRPr="00DE2DCC">
              <w:rPr>
                <w:rFonts w:ascii="Verdana" w:eastAsia="Times New Roman" w:hAnsi="Verdana" w:cs="Arial"/>
                <w:b/>
                <w:bCs/>
                <w:color w:val="000000"/>
                <w:sz w:val="20"/>
                <w:szCs w:val="20"/>
                <w:lang w:eastAsia="es-CR"/>
              </w:rPr>
              <w:t xml:space="preserve">Artículo 1.-Sobre la creación.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La Dirección Jurídica, creada por Corte Plena en la sesión Nº 17-14, celebrada el 28 de abril de 2014, artículo XXXVI, está adscrita al Consejo Superior del Poder Judicial. Es un órgano asesor técnico-jurídico, de trámite, de consulta, de resolución y ejecución de procedimientos administrativos.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Emitirá criterios con imparcialidad, objetividad y neutralidad.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4"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2º-Objetivos.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Sus objetivos generales son brindar la asesoría jurídica que requieran los diferentes despachos y oficinas del Poder Judicial, funcionar como instancia de recuperación patrimonial interna y como instancia de coordinación y acompañamiento con la representación del Estado, sea de la Procuraduría General de la República, en los distintos procesos legales en los que la Institución tenga participación.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En cuanto a la labores con la Procuraduría, y para los efectos de este Reglamento se entenderá lo siguiente: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Coordinación</w:t>
            </w:r>
            <w:r w:rsidRPr="00DE2DCC">
              <w:rPr>
                <w:rFonts w:ascii="Arial" w:eastAsia="Times New Roman" w:hAnsi="Arial" w:cs="Arial"/>
                <w:color w:val="000000"/>
                <w:sz w:val="20"/>
                <w:szCs w:val="20"/>
                <w:lang w:eastAsia="es-CR"/>
              </w:rPr>
              <w:t xml:space="preserve">: Labor de comunicación interinstitucional, que consiste en ubicar la información que soliciten las y los procuradores para preparar los juicios del Poder Judicial y eventualmente para utilizarla como prueba.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Acompañamiento</w:t>
            </w:r>
            <w:r w:rsidRPr="00DE2DCC">
              <w:rPr>
                <w:rFonts w:ascii="Arial" w:eastAsia="Times New Roman" w:hAnsi="Arial" w:cs="Arial"/>
                <w:color w:val="000000"/>
                <w:sz w:val="20"/>
                <w:szCs w:val="20"/>
                <w:lang w:eastAsia="es-CR"/>
              </w:rPr>
              <w:t xml:space="preserve">: Asistencia eventual a las audiencias de especial interés para el Poder Judicial, cuando así se requiera y se coordine previamente con la procuradora o el procurador respectivo.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Seguimiento: </w:t>
            </w:r>
            <w:r w:rsidRPr="00DE2DCC">
              <w:rPr>
                <w:rFonts w:ascii="Arial" w:eastAsia="Times New Roman" w:hAnsi="Arial" w:cs="Arial"/>
                <w:color w:val="000000"/>
                <w:sz w:val="20"/>
                <w:szCs w:val="20"/>
                <w:lang w:eastAsia="es-CR"/>
              </w:rPr>
              <w:t xml:space="preserve">Solicitar información a la Procuraduría General de la República sobre el estado de las causas en las que figure como parte 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5"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3º-Estructura.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La Dirección Jurídica estará a cargo de un Director o una Directora. Además, estará integrada por un Sub Director o una Sub Directora, el personal profesional y de apoyo que su función requiera.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Contará con un Consejo Consultivo, el Área de Contratación Administrativa, el Área de Procedimientos Disciplinarios y Jurisdiccionales, el Área de Cobro Administrativo, el Área de Análisis Jurídico y con aquellas otras que demande el cumplimiento de los objetivos institucionales. Su estructura organizativa deberá responder a esos requerimientos y contará con los niveles que técnicamente se estimen necesarios, conforme se defina en el Manual de Organización y Funciones.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6"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4º-Consejo Consultivo.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El Consejo Consultivo se constituye para conocer de asuntos de interés general y de alto impacto de la Dirección Jurídica cuando así lo estime el Director o Directora, y sobre los que haya que emitir criterio; así como cuando se suscitare un intercambio de ideas en relación a un punto jurídico en particular, a efecto de unificar criterios.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Estará integrado por el Director o Directora, el Sub Director o Subdirectora y las demás jefaturas de la Dirección Jurídica.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7"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Artículo 5º-</w:t>
            </w:r>
            <w:r w:rsidRPr="00DE2DCC">
              <w:rPr>
                <w:rFonts w:ascii="Arial" w:eastAsia="Times New Roman" w:hAnsi="Arial" w:cs="Arial"/>
                <w:b/>
                <w:bCs/>
                <w:color w:val="000000"/>
                <w:sz w:val="20"/>
                <w:szCs w:val="20"/>
                <w:lang w:eastAsia="es-CR"/>
              </w:rPr>
              <w:t xml:space="preserve">Nombramiento y Requisitos del Director o Directora y del Subdirector o Subdirectora.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Corresponde a la Corte Plena, designar al Director o Directora y al Sub Director o Subdirectora de la Dirección Jurídica.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Para ser titular de esos cargos, se requiere: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0"/>
              <w:ind w:left="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1) Ser costarricense.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2) Ser abogada o abogado incorporado al Colegio respectivo y contar con al menos cinco años en el ejercicio de la profesión.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3) Preferiblemente con un grado académico adicional a la licenciatura, en las áreas de Derecho Público, Derecho Constitucional, Laboral y Contratación Administrativa.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4) Poseer experiencia acreditada en el ámbito de las áreas señaladas en el inciso anterior y en la función pública.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8"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jc w:val="both"/>
              <w:rPr>
                <w:rFonts w:ascii="Verdana" w:eastAsia="Times New Roman" w:hAnsi="Verdana" w:cs="Arial"/>
                <w:color w:val="000000"/>
                <w:sz w:val="20"/>
                <w:szCs w:val="20"/>
                <w:lang w:eastAsia="es-CR"/>
              </w:rPr>
            </w:pPr>
            <w:r w:rsidRPr="00DE2DCC">
              <w:rPr>
                <w:rFonts w:ascii="Verdana" w:eastAsia="Times New Roman" w:hAnsi="Verdana" w:cs="Arial"/>
                <w:b/>
                <w:bCs/>
                <w:color w:val="000000"/>
                <w:sz w:val="20"/>
                <w:szCs w:val="20"/>
                <w:lang w:eastAsia="es-CR"/>
              </w:rPr>
              <w:t xml:space="preserve">Artículo 6º-Funciones de la Directora o el Director Jurídico.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La Directora o el Director Jurídico tiene las siguientes funciones: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0"/>
              <w:ind w:left="708"/>
              <w:jc w:val="both"/>
              <w:rPr>
                <w:rFonts w:ascii="Verdana" w:eastAsia="Times New Roman" w:hAnsi="Verdana" w:cs="Arial"/>
                <w:color w:val="000000"/>
                <w:sz w:val="20"/>
                <w:szCs w:val="20"/>
                <w:lang w:eastAsia="es-CR"/>
              </w:rPr>
            </w:pPr>
            <w:r w:rsidRPr="00DE2DCC">
              <w:rPr>
                <w:rFonts w:ascii="Verdana" w:eastAsia="Times New Roman" w:hAnsi="Verdana" w:cs="Arial"/>
                <w:sz w:val="20"/>
                <w:lang w:eastAsia="es-CR"/>
              </w:rPr>
              <w:t xml:space="preserve">1) </w:t>
            </w:r>
            <w:r w:rsidRPr="00DE2DCC">
              <w:rPr>
                <w:rFonts w:ascii="Verdana" w:eastAsia="Times New Roman" w:hAnsi="Verdana" w:cs="Arial"/>
                <w:color w:val="000000"/>
                <w:sz w:val="20"/>
                <w:szCs w:val="20"/>
                <w:lang w:eastAsia="es-CR"/>
              </w:rPr>
              <w:t xml:space="preserve">Dirigir, organizar, coordinar y supervisar la gestión de la Dirección Jurídica y hacer cumplir el presente Reglamento.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sz w:val="20"/>
                <w:lang w:eastAsia="es-CR"/>
              </w:rPr>
              <w:t xml:space="preserve">2) </w:t>
            </w:r>
            <w:r w:rsidRPr="00DE2DCC">
              <w:rPr>
                <w:rFonts w:ascii="Verdana" w:eastAsia="Times New Roman" w:hAnsi="Verdana" w:cs="Arial"/>
                <w:color w:val="000000"/>
                <w:sz w:val="20"/>
                <w:szCs w:val="20"/>
                <w:lang w:eastAsia="es-CR"/>
              </w:rPr>
              <w:t xml:space="preserve">Fungir como asesor o asesora de la Presidencia de la Corte, la Corte Plena, el Consejo Superior y las distintas jefaturas del Poder Judicial, cuando se requiera.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sz w:val="20"/>
                <w:lang w:eastAsia="es-CR"/>
              </w:rPr>
              <w:t xml:space="preserve">3) </w:t>
            </w:r>
            <w:r w:rsidRPr="00DE2DCC">
              <w:rPr>
                <w:rFonts w:ascii="Verdana" w:eastAsia="Times New Roman" w:hAnsi="Verdana" w:cs="Arial"/>
                <w:color w:val="000000"/>
                <w:sz w:val="20"/>
                <w:szCs w:val="20"/>
                <w:lang w:eastAsia="es-CR"/>
              </w:rPr>
              <w:t xml:space="preserve">Fungir como órgano decisor en los procedimientos administrativos </w:t>
            </w:r>
            <w:r w:rsidRPr="00DE2DCC">
              <w:rPr>
                <w:rFonts w:ascii="Verdana" w:eastAsia="Times New Roman" w:hAnsi="Verdana" w:cs="Arial"/>
                <w:color w:val="000000"/>
                <w:sz w:val="20"/>
                <w:szCs w:val="20"/>
                <w:lang w:eastAsia="es-CR"/>
              </w:rPr>
              <w:lastRenderedPageBreak/>
              <w:t xml:space="preserve">tramitados por la Dirección Jurídica y elevar a conocimiento del Consejo Superior los casos que así lo ameriten.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sz w:val="20"/>
                <w:lang w:eastAsia="es-CR"/>
              </w:rPr>
              <w:t xml:space="preserve">4) </w:t>
            </w:r>
            <w:r w:rsidRPr="00DE2DCC">
              <w:rPr>
                <w:rFonts w:ascii="Verdana" w:eastAsia="Times New Roman" w:hAnsi="Verdana" w:cs="Arial"/>
                <w:color w:val="000000"/>
                <w:sz w:val="20"/>
                <w:szCs w:val="20"/>
                <w:lang w:eastAsia="es-CR"/>
              </w:rPr>
              <w:t xml:space="preserve">Garantizar una vía de servicio ágil, para aquellas consultas que se requiera una atención inmediata.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sz w:val="20"/>
                <w:lang w:eastAsia="es-CR"/>
              </w:rPr>
              <w:t xml:space="preserve">5) </w:t>
            </w:r>
            <w:r w:rsidRPr="00DE2DCC">
              <w:rPr>
                <w:rFonts w:ascii="Verdana" w:eastAsia="Times New Roman" w:hAnsi="Verdana" w:cs="Arial"/>
                <w:color w:val="000000"/>
                <w:sz w:val="20"/>
                <w:szCs w:val="20"/>
                <w:lang w:eastAsia="es-CR"/>
              </w:rPr>
              <w:t xml:space="preserve">Velar para que la Dirección Jurídica mantenga un conjunto integrado y uniforme de criterios jurídicos en función de la constitucionalidad y la legalidad, así como de los objetivos y políticas institucionales.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sz w:val="20"/>
                <w:lang w:eastAsia="es-CR"/>
              </w:rPr>
              <w:t xml:space="preserve">6) </w:t>
            </w:r>
            <w:r w:rsidRPr="00DE2DCC">
              <w:rPr>
                <w:rFonts w:ascii="Verdana" w:eastAsia="Times New Roman" w:hAnsi="Verdana" w:cs="Arial"/>
                <w:color w:val="000000"/>
                <w:sz w:val="20"/>
                <w:szCs w:val="20"/>
                <w:lang w:eastAsia="es-CR"/>
              </w:rPr>
              <w:t xml:space="preserve">Organizar y velar por el cumplimiento de la labor de coordinación y acompañamiento de la Procuraduría General de la República, en los distintos procesos legales en los que tenga participación la institución.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7) Nombrar al personal que se requiera, de acuerdo con la normativa interna.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8) Cumplir con las funciones que la Ley Orgánica del Poder Judicial y demás normativa y disposiciones institucionales establezcan.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9) Presentar el plan anual de trabajo y del proyecto de presupuesto de la Dirección Jurídica ante las instancias respectivas para su trámite. Así mismo, presentar el informe anual de labores para su evaluación ante el superior inmediato.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10) Convocar a sesiones del Consejo Consultivo.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Times New Roman" w:eastAsia="Times New Roman" w:hAnsi="Times New Roman" w:cs="Times New Roman"/>
                <w:color w:val="000000"/>
                <w:sz w:val="24"/>
                <w:szCs w:val="24"/>
                <w:lang w:eastAsia="es-CR"/>
              </w:rPr>
            </w:pPr>
            <w:r w:rsidRPr="00DE2DCC">
              <w:rPr>
                <w:rFonts w:ascii="Times New Roman" w:eastAsia="Times New Roman" w:hAnsi="Times New Roman" w:cs="Times New Roman"/>
                <w:color w:val="000000"/>
                <w:sz w:val="24"/>
                <w:szCs w:val="24"/>
                <w:lang w:eastAsia="es-CR"/>
              </w:rPr>
              <w:t>11) Revisar los criterios técnicos emitidos, a efecto de garantizar su uniformidad.</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line="201" w:lineRule="atLeast"/>
              <w:ind w:left="708"/>
              <w:jc w:val="both"/>
              <w:rPr>
                <w:rFonts w:ascii="Verdana" w:eastAsia="Times New Roman" w:hAnsi="Verdana" w:cs="Arial"/>
                <w:sz w:val="20"/>
                <w:szCs w:val="20"/>
                <w:lang w:eastAsia="es-CR"/>
              </w:rPr>
            </w:pPr>
            <w:r w:rsidRPr="00DE2DCC">
              <w:rPr>
                <w:rFonts w:ascii="Verdana" w:eastAsia="Times New Roman" w:hAnsi="Verdana" w:cs="Arial"/>
                <w:sz w:val="20"/>
                <w:szCs w:val="20"/>
                <w:lang w:eastAsia="es-CR"/>
              </w:rPr>
              <w:t xml:space="preserve">12) Planificar y coordinar los programas de capacitación del personal de la </w:t>
            </w:r>
            <w:r w:rsidRPr="00DE2DCC">
              <w:rPr>
                <w:rFonts w:ascii="Verdana" w:eastAsia="Times New Roman" w:hAnsi="Verdana" w:cs="Arial"/>
                <w:sz w:val="20"/>
                <w:szCs w:val="20"/>
                <w:lang w:eastAsia="es-CR"/>
              </w:rPr>
              <w:lastRenderedPageBreak/>
              <w:t xml:space="preserve">Dirección Jurídica.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jc w:val="both"/>
              <w:rPr>
                <w:rFonts w:ascii="Verdana" w:eastAsia="Times New Roman" w:hAnsi="Verdana" w:cs="Arial"/>
                <w:color w:val="000000"/>
                <w:sz w:val="20"/>
                <w:szCs w:val="20"/>
                <w:lang w:eastAsia="es-CR"/>
              </w:rPr>
            </w:pPr>
            <w:r w:rsidRPr="00DE2DCC">
              <w:rPr>
                <w:rFonts w:ascii="Verdana" w:eastAsia="Times New Roman" w:hAnsi="Verdana" w:cs="Arial"/>
                <w:color w:val="000000"/>
                <w:sz w:val="20"/>
                <w:szCs w:val="20"/>
                <w:lang w:eastAsia="es-CR"/>
              </w:rPr>
              <w:t xml:space="preserve">13) Cualquier otra labor inherente al ejercicio de sus funciones, para garantizar la eficiente y oportuna prestación de servicios.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9"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7º-Funciones del Subdirector o la Subdirectora Jurídica.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La Subdirectora o el Subdirector Jurídico, tiene las siguientes funciones: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0"/>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 </w:t>
            </w:r>
            <w:r w:rsidRPr="00DE2DCC">
              <w:rPr>
                <w:rFonts w:ascii="Arial" w:eastAsia="Times New Roman" w:hAnsi="Arial" w:cs="Arial"/>
                <w:color w:val="000000"/>
                <w:sz w:val="20"/>
                <w:szCs w:val="20"/>
                <w:lang w:eastAsia="es-CR"/>
              </w:rPr>
              <w:t xml:space="preserve">Sustituir en sus funciones al Director o Directora Jurídica en sus ausencias temporales.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 </w:t>
            </w:r>
            <w:r w:rsidRPr="00DE2DCC">
              <w:rPr>
                <w:rFonts w:ascii="Arial" w:eastAsia="Times New Roman" w:hAnsi="Arial" w:cs="Arial"/>
                <w:color w:val="000000"/>
                <w:sz w:val="20"/>
                <w:szCs w:val="20"/>
                <w:lang w:eastAsia="es-CR"/>
              </w:rPr>
              <w:t xml:space="preserve">Realizar las labores que éste le asigne de conformidad con las necesidades de la Dirección.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3) </w:t>
            </w:r>
            <w:r w:rsidRPr="00DE2DCC">
              <w:rPr>
                <w:rFonts w:ascii="Arial" w:eastAsia="Times New Roman" w:hAnsi="Arial" w:cs="Arial"/>
                <w:color w:val="000000"/>
                <w:sz w:val="20"/>
                <w:szCs w:val="20"/>
                <w:lang w:eastAsia="es-CR"/>
              </w:rPr>
              <w:t xml:space="preserve">Cualquier otra labor inherente al ejercicio de sus funciones, para garantizar la eficiente y oportuna prestación de servicios.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0"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8º-Funciones de la Dirección Jurídica.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Para el cumplimiento de su objetivo tendrá las siguientes funciones: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0"/>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 </w:t>
            </w:r>
            <w:r w:rsidRPr="00DE2DCC">
              <w:rPr>
                <w:rFonts w:ascii="Arial" w:eastAsia="Times New Roman" w:hAnsi="Arial" w:cs="Arial"/>
                <w:color w:val="000000"/>
                <w:sz w:val="20"/>
                <w:szCs w:val="20"/>
                <w:lang w:eastAsia="es-CR"/>
              </w:rPr>
              <w:t xml:space="preserve">Evacuar las consultas institucionales relacionadas con los asuntos bajo su conocimiento.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 </w:t>
            </w:r>
            <w:r w:rsidRPr="00DE2DCC">
              <w:rPr>
                <w:rFonts w:ascii="Arial" w:eastAsia="Times New Roman" w:hAnsi="Arial" w:cs="Arial"/>
                <w:color w:val="000000"/>
                <w:sz w:val="20"/>
                <w:szCs w:val="20"/>
                <w:lang w:eastAsia="es-CR"/>
              </w:rPr>
              <w:t xml:space="preserve">Emitir criterios e informes jurídicos que requieran las diferentes dependencias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3) </w:t>
            </w:r>
            <w:r w:rsidRPr="00DE2DCC">
              <w:rPr>
                <w:rFonts w:ascii="Arial" w:eastAsia="Times New Roman" w:hAnsi="Arial" w:cs="Arial"/>
                <w:color w:val="000000"/>
                <w:sz w:val="20"/>
                <w:szCs w:val="20"/>
                <w:lang w:eastAsia="es-CR"/>
              </w:rPr>
              <w:t xml:space="preserve">Redactar y coadyuvar en la elaboración de los proyectos de reglamentos que se requieran aprobar en la Institución.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4) </w:t>
            </w:r>
            <w:r w:rsidRPr="00DE2DCC">
              <w:rPr>
                <w:rFonts w:ascii="Arial" w:eastAsia="Times New Roman" w:hAnsi="Arial" w:cs="Arial"/>
                <w:color w:val="000000"/>
                <w:sz w:val="20"/>
                <w:szCs w:val="20"/>
                <w:lang w:eastAsia="es-CR"/>
              </w:rPr>
              <w:t xml:space="preserve">Elaborar los informes que deben rendirse a la Sala Constitucional, dentro de las acciones de inconstitucionalidad, recursos de amparo y de hábeas corpus que interpongan contra la Presidencia de la Corte o cualquier dependencia administrativa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5) </w:t>
            </w:r>
            <w:r w:rsidRPr="00DE2DCC">
              <w:rPr>
                <w:rFonts w:ascii="Arial" w:eastAsia="Times New Roman" w:hAnsi="Arial" w:cs="Arial"/>
                <w:color w:val="000000"/>
                <w:sz w:val="20"/>
                <w:szCs w:val="20"/>
                <w:lang w:eastAsia="es-CR"/>
              </w:rPr>
              <w:t xml:space="preserve">Brindar capacitación sobre temas jurídicos a las distintas oficinas administrativas que así lo requieran.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6) </w:t>
            </w:r>
            <w:r w:rsidRPr="00DE2DCC">
              <w:rPr>
                <w:rFonts w:ascii="Arial" w:eastAsia="Times New Roman" w:hAnsi="Arial" w:cs="Arial"/>
                <w:color w:val="000000"/>
                <w:sz w:val="20"/>
                <w:szCs w:val="20"/>
                <w:lang w:eastAsia="es-CR"/>
              </w:rPr>
              <w:t xml:space="preserve">Tramitar los expedientes tanto jurisdiccionales como administrativos, que conoce la Corte Plena como órgano jurisdiccional.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7) </w:t>
            </w:r>
            <w:r w:rsidRPr="00DE2DCC">
              <w:rPr>
                <w:rFonts w:ascii="Arial" w:eastAsia="Times New Roman" w:hAnsi="Arial" w:cs="Arial"/>
                <w:color w:val="000000"/>
                <w:sz w:val="20"/>
                <w:szCs w:val="20"/>
                <w:lang w:eastAsia="es-CR"/>
              </w:rPr>
              <w:t xml:space="preserve">Revisar la legalidad de todos los contratos y convenios, previo a la suscripción por la Presidencia de la Corte, o de quien corresponda, en su condición de representantes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8) </w:t>
            </w:r>
            <w:r w:rsidRPr="00DE2DCC">
              <w:rPr>
                <w:rFonts w:ascii="Arial" w:eastAsia="Times New Roman" w:hAnsi="Arial" w:cs="Arial"/>
                <w:color w:val="000000"/>
                <w:sz w:val="20"/>
                <w:szCs w:val="20"/>
                <w:lang w:eastAsia="es-CR"/>
              </w:rPr>
              <w:t xml:space="preserve">Revisar Gacetas, Boletines Judiciales, y las actas de Corte Plena y Consejo Superior, en lo de su competencia, para extraer aquellos asuntos que revisten interés para la institución.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9) </w:t>
            </w:r>
            <w:r w:rsidRPr="00DE2DCC">
              <w:rPr>
                <w:rFonts w:ascii="Arial" w:eastAsia="Times New Roman" w:hAnsi="Arial" w:cs="Arial"/>
                <w:color w:val="000000"/>
                <w:sz w:val="20"/>
                <w:szCs w:val="20"/>
                <w:lang w:eastAsia="es-CR"/>
              </w:rPr>
              <w:t xml:space="preserve">Estudiar las sentencias judiciales dictadas en asuntos en los cuales el Poder Judicial ha participado, para brindar asesoría en la respectiva ejecución.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10) </w:t>
            </w:r>
            <w:r w:rsidRPr="00DE2DCC">
              <w:rPr>
                <w:rFonts w:ascii="Arial" w:eastAsia="Times New Roman" w:hAnsi="Arial" w:cs="Arial"/>
                <w:color w:val="000000"/>
                <w:sz w:val="20"/>
                <w:szCs w:val="20"/>
                <w:lang w:eastAsia="es-CR"/>
              </w:rPr>
              <w:t xml:space="preserve">Atender todo lo relacionado con la Contratación Administrativa, cuando no sea competencia del Departamento de Proveeduría o del Consejo Superior.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11) </w:t>
            </w:r>
            <w:r w:rsidRPr="00DE2DCC">
              <w:rPr>
                <w:rFonts w:ascii="Arial" w:eastAsia="Times New Roman" w:hAnsi="Arial" w:cs="Arial"/>
                <w:color w:val="000000"/>
                <w:sz w:val="20"/>
                <w:szCs w:val="20"/>
                <w:lang w:eastAsia="es-CR"/>
              </w:rPr>
              <w:t xml:space="preserve">Estudiar la procedencia de recursos de reconsideración presentados ante el Consejo Superior por resoluciones y rescisiones contractuales.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12) </w:t>
            </w:r>
            <w:r w:rsidRPr="00DE2DCC">
              <w:rPr>
                <w:rFonts w:ascii="Arial" w:eastAsia="Times New Roman" w:hAnsi="Arial" w:cs="Arial"/>
                <w:color w:val="000000"/>
                <w:sz w:val="20"/>
                <w:szCs w:val="20"/>
                <w:lang w:eastAsia="es-CR"/>
              </w:rPr>
              <w:t xml:space="preserve">Tramitar las causas disciplinarias contra quienes se desempeñen como peritos o peritas, curadores o curadoras y ejecutores o ejecutoras en el ejercicio de sus cargos dentro de los expedientes judiciales donde sean nombrados y nombradas.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13) </w:t>
            </w:r>
            <w:r w:rsidRPr="00DE2DCC">
              <w:rPr>
                <w:rFonts w:ascii="Arial" w:eastAsia="Times New Roman" w:hAnsi="Arial" w:cs="Arial"/>
                <w:color w:val="000000"/>
                <w:sz w:val="20"/>
                <w:szCs w:val="20"/>
                <w:lang w:eastAsia="es-CR"/>
              </w:rPr>
              <w:t xml:space="preserve">Realizar las diversas gestiones, contestar y redactar los recursos de revocatoria y apelación en las que el Poder Judicial sea parte interesada y deba presentar ante otras instituciones del Estado.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14) </w:t>
            </w:r>
            <w:r w:rsidRPr="00DE2DCC">
              <w:rPr>
                <w:rFonts w:ascii="Arial" w:eastAsia="Times New Roman" w:hAnsi="Arial" w:cs="Arial"/>
                <w:color w:val="000000"/>
                <w:sz w:val="20"/>
                <w:szCs w:val="20"/>
                <w:lang w:eastAsia="es-CR"/>
              </w:rPr>
              <w:t xml:space="preserve">Tramitar el procedimiento para la inscripción de propiedades inmuebles del Estado-Poder Judicial, y de inscripción de marcas y derechos de Autor.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15) </w:t>
            </w:r>
            <w:r w:rsidRPr="00DE2DCC">
              <w:rPr>
                <w:rFonts w:ascii="Arial" w:eastAsia="Times New Roman" w:hAnsi="Arial" w:cs="Arial"/>
                <w:color w:val="000000"/>
                <w:sz w:val="20"/>
                <w:szCs w:val="20"/>
                <w:lang w:eastAsia="es-CR"/>
              </w:rPr>
              <w:t xml:space="preserve">Confeccionar y contestar las gestiones que el Poder Judicial presente ante otras instituciones del Estado, y atender la formulación o contestación de los respectivos recursos administrativos.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16) </w:t>
            </w:r>
            <w:r w:rsidRPr="00DE2DCC">
              <w:rPr>
                <w:rFonts w:ascii="Arial" w:eastAsia="Times New Roman" w:hAnsi="Arial" w:cs="Arial"/>
                <w:color w:val="000000"/>
                <w:sz w:val="20"/>
                <w:szCs w:val="20"/>
                <w:lang w:eastAsia="es-CR"/>
              </w:rPr>
              <w:t xml:space="preserve">Desempeñarse como órgano director del procedimiento administrativo y ejecutar los procedimientos administrativos de cobro necesarios para la recuperación patrimonial de la institución.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17) </w:t>
            </w:r>
            <w:r w:rsidRPr="00DE2DCC">
              <w:rPr>
                <w:rFonts w:ascii="Arial" w:eastAsia="Times New Roman" w:hAnsi="Arial" w:cs="Arial"/>
                <w:color w:val="000000"/>
                <w:sz w:val="20"/>
                <w:szCs w:val="20"/>
                <w:lang w:eastAsia="es-CR"/>
              </w:rPr>
              <w:t xml:space="preserve">Remitir a la Procuraduría General de la República, los casos en que en vía administrativa, no se puedan recuperar las sumas adeudadas, para el establecimiento del correspondiente proceso judicial, así como coordinar las estrategias a seguir en los procesos judiciales en los que la institución sea parte y acompañarle en las respectivas audiencias.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18) </w:t>
            </w:r>
            <w:r w:rsidRPr="00DE2DCC">
              <w:rPr>
                <w:rFonts w:ascii="Arial" w:eastAsia="Times New Roman" w:hAnsi="Arial" w:cs="Arial"/>
                <w:color w:val="000000"/>
                <w:sz w:val="20"/>
                <w:szCs w:val="20"/>
                <w:lang w:eastAsia="es-CR"/>
              </w:rPr>
              <w:t xml:space="preserve">Presentar informes de impacto sobre legislación nueva relacionada con la estructura y funcionamiento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19) </w:t>
            </w:r>
            <w:r w:rsidRPr="00DE2DCC">
              <w:rPr>
                <w:rFonts w:ascii="Arial" w:eastAsia="Times New Roman" w:hAnsi="Arial" w:cs="Arial"/>
                <w:color w:val="000000"/>
                <w:sz w:val="20"/>
                <w:szCs w:val="20"/>
                <w:lang w:eastAsia="es-CR"/>
              </w:rPr>
              <w:t xml:space="preserve">Dar seguimiento a los proyectos de ley que interesen al Poder Judicial, revisar los expedientes legislativos, los órdenes del día del Plenario Legislativo y de las Comisiones Legislativas, en los temas de interés para la institución.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20) </w:t>
            </w:r>
            <w:r w:rsidRPr="00DE2DCC">
              <w:rPr>
                <w:rFonts w:ascii="Arial" w:eastAsia="Times New Roman" w:hAnsi="Arial" w:cs="Arial"/>
                <w:color w:val="000000"/>
                <w:sz w:val="20"/>
                <w:szCs w:val="20"/>
                <w:lang w:eastAsia="es-CR"/>
              </w:rPr>
              <w:t xml:space="preserve">Revisar expedientes judiciales para dar seguimiento a la implementación de leyes, cuando así se solicite.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21) </w:t>
            </w:r>
            <w:r w:rsidRPr="00DE2DCC">
              <w:rPr>
                <w:rFonts w:ascii="Arial" w:eastAsia="Times New Roman" w:hAnsi="Arial" w:cs="Arial"/>
                <w:color w:val="000000"/>
                <w:sz w:val="20"/>
                <w:szCs w:val="20"/>
                <w:lang w:eastAsia="es-CR"/>
              </w:rPr>
              <w:t xml:space="preserve">Integrar equipos de trabajo interdisciplinarios cuando así se solicite.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22) </w:t>
            </w:r>
            <w:r w:rsidRPr="00DE2DCC">
              <w:rPr>
                <w:rFonts w:ascii="Arial" w:eastAsia="Times New Roman" w:hAnsi="Arial" w:cs="Arial"/>
                <w:color w:val="000000"/>
                <w:sz w:val="20"/>
                <w:szCs w:val="20"/>
                <w:lang w:eastAsia="es-CR"/>
              </w:rPr>
              <w:t xml:space="preserve">Asesorar y participar en las comisiones institucionales cuando así se requiera.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23) </w:t>
            </w:r>
            <w:r w:rsidRPr="00DE2DCC">
              <w:rPr>
                <w:rFonts w:ascii="Arial" w:eastAsia="Times New Roman" w:hAnsi="Arial" w:cs="Arial"/>
                <w:color w:val="000000"/>
                <w:sz w:val="20"/>
                <w:szCs w:val="20"/>
                <w:lang w:eastAsia="es-CR"/>
              </w:rPr>
              <w:t xml:space="preserve">Confeccionar material de interés para los despachos y oficinas de la Institución, como compendios, guías e índices de material útil, que facilite el acceso a la información relacionada con la actividad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24) </w:t>
            </w:r>
            <w:r w:rsidRPr="00DE2DCC">
              <w:rPr>
                <w:rFonts w:ascii="Arial" w:eastAsia="Times New Roman" w:hAnsi="Arial" w:cs="Arial"/>
                <w:color w:val="000000"/>
                <w:sz w:val="20"/>
                <w:szCs w:val="20"/>
                <w:lang w:eastAsia="es-CR"/>
              </w:rPr>
              <w:t xml:space="preserve">Llevar la actualización del Libro de Competencia Territorial y Jerárquica del Poder Judicial y el Libro de Leyes y Reglamentos del Poder Judicial y atender las consultas de las personas usuarias internas y externas.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25) </w:t>
            </w:r>
            <w:r w:rsidRPr="00DE2DCC">
              <w:rPr>
                <w:rFonts w:ascii="Arial" w:eastAsia="Times New Roman" w:hAnsi="Arial" w:cs="Arial"/>
                <w:color w:val="000000"/>
                <w:sz w:val="20"/>
                <w:szCs w:val="20"/>
                <w:lang w:eastAsia="es-CR"/>
              </w:rPr>
              <w:t xml:space="preserve">Estudiar la normativa existente y proponer el ajuste de procedimientos administrativos al bloque de constitucionalidad y legalidad vigentes.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26) </w:t>
            </w:r>
            <w:r w:rsidRPr="00DE2DCC">
              <w:rPr>
                <w:rFonts w:ascii="Arial" w:eastAsia="Times New Roman" w:hAnsi="Arial" w:cs="Arial"/>
                <w:color w:val="000000"/>
                <w:sz w:val="20"/>
                <w:szCs w:val="20"/>
                <w:lang w:eastAsia="es-CR"/>
              </w:rPr>
              <w:t xml:space="preserve">Cualquier otra labor compatible con las funciones que se asigne a esta Dirección por parte de la Presidencia de la Corte, el Consejo Superior y la Corte Plena.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1"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lastRenderedPageBreak/>
              <w:t xml:space="preserve">Artículo 9º-Libre acceso a la información y deber de confidencialidad.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La Dirección Jurídica tendrá libre acceso a todas las dependencias del Poder Judicial, así como a los expedientes judiciales y administrativos para efectos de su competencia, y sobre los que tendrá el deber de confidencialidad.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2"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10.-Apoyo investigativo.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La Dirección Jurídica podrá acudir a la asesor </w:t>
            </w:r>
            <w:proofErr w:type="spellStart"/>
            <w:r w:rsidRPr="00DE2DCC">
              <w:rPr>
                <w:rFonts w:ascii="Arial" w:eastAsia="Times New Roman" w:hAnsi="Arial" w:cs="Arial"/>
                <w:color w:val="000000"/>
                <w:sz w:val="20"/>
                <w:szCs w:val="20"/>
                <w:lang w:eastAsia="es-CR"/>
              </w:rPr>
              <w:t>ía</w:t>
            </w:r>
            <w:proofErr w:type="spellEnd"/>
            <w:r w:rsidRPr="00DE2DCC">
              <w:rPr>
                <w:rFonts w:ascii="Arial" w:eastAsia="Times New Roman" w:hAnsi="Arial" w:cs="Arial"/>
                <w:color w:val="000000"/>
                <w:sz w:val="20"/>
                <w:szCs w:val="20"/>
                <w:lang w:eastAsia="es-CR"/>
              </w:rPr>
              <w:t xml:space="preserve"> de personas expertas en otros campos ajenos al Derecho, que estime necesaria para dar apoyo a su labor.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3"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11.-De la reconsideración de criterios jurídicos.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Los criterios jurídicos emitidos por la Dirección Jurídica podrán ser reconsiderados por el asesor o la asesora jurídica que elabora el dictamen original, con la aprobación de la respectiva Jefatura de Área o por el Director o Directora Jurídica.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4"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lastRenderedPageBreak/>
              <w:br/>
            </w: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12.-Supletoriedad.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Lo no previsto en este reglamento se regulará por las disposiciones de la Ley Orgánica del Poder Judicial y demás normativa institucional.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5"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13.-Reformas al Reglamento para regular la función de las y los intérpretes, traductores, peritos y ejecutores en 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Se reforman los artículos 2 inciso f), 5 párrafo 1°, 7 párrafo 1°, 8, 9, 11 párrafo 3°, 14, 20 párrafo 1°, 21, 28 párrafo 2°, 31 párrafo 2° y 34 del "Reglamento para regular la función de las y los intérpretes, traductores, peritos y ejecutores en el Poder Judicial", aprobado por Corte Plena, sesión Nº 10-12 de 12 de marzo del 2012, artículo XL. La reforma se hace para separar los aspectos administrativo-operativos de esa oficina que corresponde realizar a la Dirección Ejecutiva, de los aspectos disciplinarios que corresponderá conocer y resolver a la Dirección Jurídica.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El texto de los artículos reformados se leerá como se indica a continuación: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Artículo 2 inciso f):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2º-Definiciones.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708"/>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Para los efectos de este reglamento se entenderá como: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708"/>
              <w:rPr>
                <w:rFonts w:ascii="Times New Roman" w:eastAsia="Times New Roman" w:hAnsi="Times New Roman" w:cs="Times New Roman"/>
                <w:color w:val="000000"/>
                <w:sz w:val="24"/>
                <w:szCs w:val="24"/>
                <w:lang w:eastAsia="es-CR"/>
              </w:rPr>
            </w:pPr>
            <w:r w:rsidRPr="00DE2DCC">
              <w:rPr>
                <w:rFonts w:ascii="Times New Roman" w:eastAsia="Times New Roman" w:hAnsi="Times New Roman" w:cs="Times New Roman"/>
                <w:color w:val="000000"/>
                <w:sz w:val="24"/>
                <w:szCs w:val="24"/>
                <w:lang w:eastAsia="es-CR"/>
              </w:rPr>
              <w:t>f) Dirección Ejecutiva: oficina encargada de los aspectos administrativo-</w:t>
            </w:r>
            <w:r w:rsidRPr="00DE2DCC">
              <w:rPr>
                <w:rFonts w:ascii="Times New Roman" w:eastAsia="Times New Roman" w:hAnsi="Times New Roman" w:cs="Times New Roman"/>
                <w:color w:val="000000"/>
                <w:sz w:val="24"/>
                <w:szCs w:val="24"/>
                <w:lang w:eastAsia="es-CR"/>
              </w:rPr>
              <w:lastRenderedPageBreak/>
              <w:t>operativos de los intérpretes y traductores, ejecutores y peritos valuadores, regulada en el artículo 160 de la Ley Orgánica del Poder Judicial, por así disponerlo el Consejo Superior."</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5 párrafo 1°: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5º-Requisitos de inscripción para intérpretes, traductores o traductoras: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Para inscribirse como intérprete, traductor o traductora se deberá cumplir con los siguientes requisitos y presentar a la Dirección Ejecutiva los documentos que se indicarán, según sea el caso: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7 párrafo 1°: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7º-Requisitos para la inscripción de peritos y peritas.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Para ser inscrito como perito o perita es necesario presentar en la Dirección Ejecutiva, lo siguiente</w:t>
            </w:r>
            <w:proofErr w:type="gramStart"/>
            <w:r w:rsidRPr="00DE2DCC">
              <w:rPr>
                <w:rFonts w:ascii="Arial" w:eastAsia="Times New Roman" w:hAnsi="Arial" w:cs="Arial"/>
                <w:color w:val="000000"/>
                <w:sz w:val="20"/>
                <w:szCs w:val="20"/>
                <w:lang w:eastAsia="es-CR"/>
              </w:rPr>
              <w:t>:.</w:t>
            </w:r>
            <w:proofErr w:type="gramEnd"/>
            <w:r w:rsidRPr="00DE2DCC">
              <w:rPr>
                <w:rFonts w:ascii="Arial" w:eastAsia="Times New Roman" w:hAnsi="Arial" w:cs="Arial"/>
                <w:color w:val="000000"/>
                <w:sz w:val="20"/>
                <w:szCs w:val="20"/>
                <w:lang w:eastAsia="es-CR"/>
              </w:rPr>
              <w:t xml:space="preserv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8: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8º-Lista oficial de personas intérpretes, traductoras y peritos.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Si la persona interesada cumple con los requisitos, el Director o Directora Ejecutiva </w:t>
            </w:r>
            <w:proofErr w:type="gramStart"/>
            <w:r w:rsidRPr="00DE2DCC">
              <w:rPr>
                <w:rFonts w:ascii="Arial" w:eastAsia="Times New Roman" w:hAnsi="Arial" w:cs="Arial"/>
                <w:color w:val="000000"/>
                <w:sz w:val="20"/>
                <w:szCs w:val="20"/>
                <w:lang w:eastAsia="es-CR"/>
              </w:rPr>
              <w:t>procederá</w:t>
            </w:r>
            <w:proofErr w:type="gramEnd"/>
            <w:r w:rsidRPr="00DE2DCC">
              <w:rPr>
                <w:rFonts w:ascii="Arial" w:eastAsia="Times New Roman" w:hAnsi="Arial" w:cs="Arial"/>
                <w:color w:val="000000"/>
                <w:sz w:val="20"/>
                <w:szCs w:val="20"/>
                <w:lang w:eastAsia="es-CR"/>
              </w:rPr>
              <w:t xml:space="preserve"> a juramentarla en el cargo respectivo. Cumplido lo anterior, se incluirá en el Sistema de Administración de Peritos, Traductores, Intérpretes y Ejecutores y en la Lista Oficial de Peritos, Intérpretes, Traductores y Ejecutores del Poder Judicial, la que se publicará en el Boletín Judicial cada vez que sea necesario, a criterio de la Dirección Ejecutiva. Una vez inscrita, la persona interesada deberá presentarse a la Dirección Ejecutiva, con el fin de confeccionar el carné que le acredite como tal. Este carné se expedirá con una vigencia de un año, renovable por períodos iguales y consecutivos, siempre y cuando la persona no tenga impedimento para seguir fungiendo como intérprete, traductor o perito."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lastRenderedPageBreak/>
              <w:t xml:space="preserve">Artículo 9: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"Artículo 9º-</w:t>
            </w:r>
            <w:r w:rsidRPr="00DE2DCC">
              <w:rPr>
                <w:rFonts w:ascii="Arial" w:eastAsia="Times New Roman" w:hAnsi="Arial" w:cs="Arial"/>
                <w:b/>
                <w:bCs/>
                <w:color w:val="000000"/>
                <w:sz w:val="20"/>
                <w:szCs w:val="20"/>
                <w:lang w:eastAsia="es-CR"/>
              </w:rPr>
              <w:t xml:space="preserve">Actualización de la lista oficial de personas intérpretes, traductoras y peritos.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La Dirección Ejecutiva mantendrá actualizada la Lista Oficial y el Sistema de Administración de Peritos, Intérpretes y Traductores, a los que deberán acudir los despachos judiciales para realizar los nombramientos respectivos."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11 párrafo 3°: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11.-Aceptación del cargo.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Si no se aceptara el cargo, sin mediar justa causa, la Dirección Ejecutiva comunicará esta situación a la Dirección Jurídica para que realice el procedimiento administrativo correspondiente, para determinar si procede o no la imposición de una sanción disciplinaria."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14: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14.-Actuaciones contrarias al ordenamiento jurídico.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Si las o los intérpretes, traductores, traductoras, peritas o peritos incurrieran en una actuación contraria al ordenamiento jurídico al momento de realizar su labor, el despacho jurisdiccional deberá informar a la Dirección Ejecutiva para que registre la situación y remita el asunto a la Dirección Jurídica, a fin de que proceda a tramitar el correspondiente procedimiento administrativo disciplinario."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20 párrafo 1°: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lastRenderedPageBreak/>
              <w:t xml:space="preserve">"Artículo 20.-Requisitos para la inscripción de las y los auxiliares ejecutores.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Además de los requisitos establecidos en el artículo 160, párrafo primero, de la Ley Orgánica del Poder Judicial, para la inscripción en la Lista Oficial, las y los Ejecutores deberán aportar a la Dirección Ejecutiva, los siguientes documentos: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21: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21.-Inclusión en el sistema de administración de peritos, traductores, intérpretes y auxiliares ejecutores.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Una vez cumplidos los requisitos estipulados en el presente Reglamento y aprobada su designación el nombre del o la Auxiliar Ejecutor se incluirá en el Sistema de Administración de Peritos, Traductores, Intérpretes y Ejecutores y en la Lista Oficial. Además el Auxiliar Ejecutor deberá ser juramentado por el Director o la Directora Ejecutiva."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28 párrafo 2°: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28.-No aceptación del cargo por parte de las o los auxiliares ejecutores.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Si las o los Auxiliares Ejecutores incurrieran en una actuación contraria al ordenamiento jurídico al momento de realizar su labor, el despacho jurisdiccional deberá informar a la Dirección Ejecutiva para que registre la situación y remita el asunto a la Dirección Jurídica, a fin de que se proceda a tramitar el correspondiente procedimiento administrativo disciplinario."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31 párrafo 2°: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31.-Procedimiento administrativo sancionatorio y recursos.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lastRenderedPageBreak/>
              <w:t xml:space="preserve">El Director o la Directora Jurídica del Poder Judicial será el órgano competente para dictar el acto final del procedimiento disciplinario que se entable. Contra lo resuelto cabrán los recursos ordinarios de revocatoria ante dicha Dirección y de apelación ante el Consejo Superior. Ambos recursos deben interponerse dentro de un plazo de tres días, contados a partir del día siguiente a la notificación del acto final."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34: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34.-Personas intérpretes, traductoras, peritas y ejecutoras condenadas por delito doloso o culposo.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En caso de que las personas intérpretes, traductoras, peritas y ejecutoras fueren condenadas por algún delito doloso o culposo, ajeno al cargo, la Dirección Jurídica examinará el hecho, con el fin de determinar si se justifica o no la aplicación del régimen disciplinario de conformidad con lo dispuesto en este Reglamento."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6"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14.-Se adiciona el inciso g) al artículo 2 del Reglamento para regular la función de las y los intérpretes, traductores, peritos y ejecutores en 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Se adiciona el inciso g) al artículo 2 del "Reglamento para regular la función de las y los intérpretes, traductores, peritos y ejecutores en el Poder Judicial", aprobado por Corte Plena, sesión Nº 10-12 de 12 de marzo del 2012, artículo XL, cuyo texto establece lo siguiente: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2º-Definiciones.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Para los efectos de este reglamento se entenderá como: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0"/>
              <w:ind w:left="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"g) Dirección Jurídica: oficina del Poder Judicial encargada de conocer y resolver el </w:t>
            </w:r>
            <w:r w:rsidRPr="00DE2DCC">
              <w:rPr>
                <w:rFonts w:ascii="Arial" w:eastAsia="Times New Roman" w:hAnsi="Arial" w:cs="Arial"/>
                <w:color w:val="000000"/>
                <w:sz w:val="20"/>
                <w:szCs w:val="20"/>
                <w:lang w:eastAsia="es-CR"/>
              </w:rPr>
              <w:lastRenderedPageBreak/>
              <w:t xml:space="preserve">régimen disciplinario de los intérpretes y traductores, ejecutores y peritos valuadores, regulada en el artículo 160 de la Ley Orgánica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7"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15.-Reformas al "Reglamento para el uso, control y mantenimiento de los vehículos del Poder Judicial".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Se reforman los artículos 22 inciso ll), 48 inciso a) y 49 inciso d) del "Reglamento para el uso, control y mantenimiento de los vehículos del Poder Judicial", aprobado por Corte Plena sesión N° 39-09 de 9 de noviembre del 2009, artículo XV. La reforma se hace para incorporar la obligación de enviar una copia de la respectiva documentación a la Dirección Jurídica. El texto de los artículos reformados se leerá como se indica a continuación: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22 inciso ll):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"Artículo 22.-El Jefe de la Sección de Transportes del Organismo de Investigación Judicial, el Jefe de la Sección de Transportes del Departamento de Servicios Generales, la Administración del Ministerio Público y de la Defensa Pública, los Administradores Regionales y demás encargados del uso de los vehículos del Poder Judicial, en razón al cumplimiento de las funciones, tendrán los siguientes deberes y responsabilidades</w:t>
            </w:r>
            <w:proofErr w:type="gramStart"/>
            <w:r w:rsidRPr="00DE2DCC">
              <w:rPr>
                <w:rFonts w:ascii="Arial" w:eastAsia="Times New Roman" w:hAnsi="Arial" w:cs="Arial"/>
                <w:color w:val="000000"/>
                <w:sz w:val="20"/>
                <w:szCs w:val="20"/>
                <w:lang w:eastAsia="es-CR"/>
              </w:rPr>
              <w:t>: .</w:t>
            </w:r>
            <w:proofErr w:type="gramEnd"/>
            <w:r w:rsidRPr="00DE2DCC">
              <w:rPr>
                <w:rFonts w:ascii="Arial" w:eastAsia="Times New Roman" w:hAnsi="Arial" w:cs="Arial"/>
                <w:color w:val="000000"/>
                <w:sz w:val="20"/>
                <w:szCs w:val="20"/>
                <w:lang w:eastAsia="es-CR"/>
              </w:rPr>
              <w:t xml:space="preserv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proofErr w:type="gramStart"/>
            <w:r w:rsidRPr="00DE2DCC">
              <w:rPr>
                <w:rFonts w:ascii="Arial" w:eastAsia="Times New Roman" w:hAnsi="Arial" w:cs="Arial"/>
                <w:color w:val="000000"/>
                <w:sz w:val="20"/>
                <w:szCs w:val="20"/>
                <w:lang w:eastAsia="es-CR"/>
              </w:rPr>
              <w:t>ll</w:t>
            </w:r>
            <w:proofErr w:type="gramEnd"/>
            <w:r w:rsidRPr="00DE2DCC">
              <w:rPr>
                <w:rFonts w:ascii="Arial" w:eastAsia="Times New Roman" w:hAnsi="Arial" w:cs="Arial"/>
                <w:color w:val="000000"/>
                <w:sz w:val="20"/>
                <w:szCs w:val="20"/>
                <w:lang w:eastAsia="es-CR"/>
              </w:rPr>
              <w:t xml:space="preserve">) En caso de daño a un vehículo o pérdidas de activos del Poder Judicial, debe levantar la información administrativa preliminar en forma detallada y hacer del conocimiento del Departamento de Proveeduría, con copia a la Dirección Ejecutiva, a la Dirección Jurídica, a la Oficina de Asuntos Internos del Organismo de Investigación Judicial, a la Inspección Fiscal del Ministerio Público, o a la Unidad de Supervisión Disciplinaria de la Defensa Pública, según corresponda."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48 inciso 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48.- Los Jefes de las Secciones de Transportes del Organismo de Investigación Judicial y del Departamento de Servicios Generales, el Administrador del Ministerio Público y de la Defensa Pública, los Administradores Regionales y los encargados de vehículos </w:t>
            </w:r>
            <w:r w:rsidRPr="00DE2DCC">
              <w:rPr>
                <w:rFonts w:ascii="Arial" w:eastAsia="Times New Roman" w:hAnsi="Arial" w:cs="Arial"/>
                <w:color w:val="000000"/>
                <w:sz w:val="20"/>
                <w:szCs w:val="20"/>
                <w:lang w:eastAsia="es-CR"/>
              </w:rPr>
              <w:lastRenderedPageBreak/>
              <w:t xml:space="preserve">oficiales, que detecten daños a los vehículos o pérdida de activos que se encuentren dentro de las unidades del Poder Judicial, deberán proceder conforme se detalla a continuación: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0"/>
              <w:ind w:left="240"/>
              <w:rPr>
                <w:rFonts w:ascii="Arial" w:eastAsia="Times New Roman" w:hAnsi="Arial" w:cs="Arial"/>
                <w:color w:val="000000"/>
                <w:sz w:val="20"/>
                <w:szCs w:val="20"/>
                <w:lang w:eastAsia="es-CR"/>
              </w:rPr>
            </w:pPr>
            <w:r w:rsidRPr="00DE2DCC">
              <w:rPr>
                <w:rFonts w:ascii="Arial" w:eastAsia="Times New Roman" w:hAnsi="Arial" w:cs="Arial"/>
                <w:sz w:val="20"/>
                <w:lang w:eastAsia="es-CR"/>
              </w:rPr>
              <w:t xml:space="preserve">a) </w:t>
            </w:r>
            <w:r w:rsidRPr="00DE2DCC">
              <w:rPr>
                <w:rFonts w:ascii="Arial" w:eastAsia="Times New Roman" w:hAnsi="Arial" w:cs="Arial"/>
                <w:color w:val="000000"/>
                <w:sz w:val="20"/>
                <w:szCs w:val="20"/>
                <w:lang w:eastAsia="es-CR"/>
              </w:rPr>
              <w:t xml:space="preserve">Dirigir nota al Departamento de Proveeduría con copia a la Dirección Ejecutiva y a la Dirección Jurídica, en que se informe sobre lo sucedido y se solicite el trámite de reparación del vehículo o reparación o reposición del activo. Además, debe remitirse copia a la Oficina de Asuntos Internos del Organismo de Investigación Judicial, a la Unidad de Inspección Fiscal del Ministerio Público y a la Unidad de Supervisión Disciplinaria de la Defensa  Pública, según sea el caso."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Artículo 49 inciso d):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"Artículo 49.-En los reclamos de indemnización por robo de vehículos del Poder Judicial ante el Instituto Nacional de Seguros, se debe proceder con el siguiente trámite</w:t>
            </w:r>
            <w:proofErr w:type="gramStart"/>
            <w:r w:rsidRPr="00DE2DCC">
              <w:rPr>
                <w:rFonts w:ascii="Arial" w:eastAsia="Times New Roman" w:hAnsi="Arial" w:cs="Arial"/>
                <w:color w:val="000000"/>
                <w:sz w:val="20"/>
                <w:szCs w:val="20"/>
                <w:lang w:eastAsia="es-CR"/>
              </w:rPr>
              <w:t>:.</w:t>
            </w:r>
            <w:proofErr w:type="gramEnd"/>
            <w:r w:rsidRPr="00DE2DCC">
              <w:rPr>
                <w:rFonts w:ascii="Arial" w:eastAsia="Times New Roman" w:hAnsi="Arial" w:cs="Arial"/>
                <w:color w:val="000000"/>
                <w:sz w:val="20"/>
                <w:szCs w:val="20"/>
                <w:lang w:eastAsia="es-CR"/>
              </w:rPr>
              <w:t xml:space="preserve">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0"/>
              <w:ind w:left="24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d) Remitir nota al Departamento de Proveeduría con copia a la Dirección Ejecutiva y a la Dirección Jurídica con los documentos respectivos."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b/>
                <w:bCs/>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8"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b/>
                <w:bCs/>
                <w:color w:val="000000"/>
                <w:sz w:val="20"/>
                <w:szCs w:val="20"/>
                <w:lang w:eastAsia="es-CR"/>
              </w:rPr>
              <w:t xml:space="preserve">Artículo 16.-Vigencia.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Este reglamento rige a partir de su publicación y deroga cualquier norma reglamentaria que se le oponga.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r w:rsidRPr="00DE2DCC">
              <w:rPr>
                <w:rFonts w:ascii="Verdana" w:eastAsia="Verdana" w:hAnsi="Verdana" w:cs="Arial"/>
                <w:color w:val="000000"/>
                <w:sz w:val="20"/>
                <w:szCs w:val="20"/>
                <w:lang w:eastAsia="es-CR"/>
              </w:rPr>
              <w:br w:type="page"/>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19"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p>
          <w:p w:rsidR="00DE2DCC" w:rsidRPr="00DE2DCC" w:rsidRDefault="00DE2DCC" w:rsidP="00DE2DCC">
            <w:pPr>
              <w:spacing w:before="100" w:beforeAutospacing="1"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lastRenderedPageBreak/>
              <w:t xml:space="preserve">Disposición transitoria: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60" w:after="100" w:afterAutospacing="1"/>
              <w:ind w:left="0" w:firstLine="48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t xml:space="preserve">I.-Los asuntos cuyo trámite se encuentre iniciado se terminarán de conocer por la Dirección Ejecutiva como órgano decisor, para los efectos de salvaguardar la competencia del dictado del acto final. Los asuntos que ingresen a partir de la vigencia de este reglamento y a los que habiendo ingresado, no se les haya iniciado el trámite, es decir el nombramiento del órgano director, el dictado del acto final corresponderá a la Dirección Jurídica. Esta disposición aplicará tanto a los asuntos de cobro administrativo como a los disciplinarios de peritos, ejecutores, intérpretes y traductores." </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firstLine="480"/>
              <w:rPr>
                <w:rFonts w:ascii="Times New Roman" w:eastAsia="Times New Roman" w:hAnsi="Times New Roman" w:cs="Times New Roman"/>
                <w:color w:val="000000"/>
                <w:sz w:val="24"/>
                <w:szCs w:val="24"/>
                <w:lang w:eastAsia="es-CR"/>
              </w:rPr>
            </w:pPr>
            <w:r w:rsidRPr="00DE2DCC">
              <w:rPr>
                <w:rFonts w:ascii="Times New Roman" w:eastAsia="Times New Roman" w:hAnsi="Times New Roman" w:cs="Times New Roman"/>
                <w:color w:val="000000"/>
                <w:sz w:val="24"/>
                <w:szCs w:val="24"/>
                <w:lang w:eastAsia="es-CR"/>
              </w:rPr>
              <w:t>San José, 28 de noviembre de 2014.</w:t>
            </w: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100" w:beforeAutospacing="1" w:after="100" w:afterAutospacing="1"/>
              <w:ind w:left="0"/>
              <w:rPr>
                <w:rFonts w:ascii="Times New Roman" w:eastAsia="Times New Roman" w:hAnsi="Times New Roman" w:cs="Times New Roman"/>
                <w:color w:val="000000"/>
                <w:sz w:val="24"/>
                <w:szCs w:val="24"/>
                <w:lang w:eastAsia="es-CR"/>
              </w:rPr>
            </w:pPr>
          </w:p>
          <w:p w:rsidR="00DE2DCC" w:rsidRPr="00DE2DCC" w:rsidRDefault="00DE2DCC" w:rsidP="00DE2DCC">
            <w:pPr>
              <w:spacing w:before="0"/>
              <w:ind w:left="0"/>
              <w:rPr>
                <w:rFonts w:ascii="Arial" w:eastAsia="Times New Roman" w:hAnsi="Arial" w:cs="Arial"/>
                <w:color w:val="000000"/>
                <w:sz w:val="20"/>
                <w:szCs w:val="20"/>
                <w:lang w:eastAsia="es-CR"/>
              </w:rPr>
            </w:pPr>
          </w:p>
          <w:p w:rsidR="00DE2DCC" w:rsidRPr="00DE2DCC" w:rsidRDefault="00DE2DCC" w:rsidP="00DE2DCC">
            <w:pPr>
              <w:spacing w:before="0" w:after="0"/>
              <w:ind w:left="0"/>
              <w:rPr>
                <w:rFonts w:ascii="Arial" w:eastAsia="Times New Roman" w:hAnsi="Arial" w:cs="Arial"/>
                <w:color w:val="000000"/>
                <w:sz w:val="20"/>
                <w:szCs w:val="20"/>
                <w:lang w:eastAsia="es-CR"/>
              </w:rPr>
            </w:pPr>
            <w:r w:rsidRPr="00DE2DCC">
              <w:rPr>
                <w:rFonts w:ascii="Arial" w:eastAsia="Times New Roman" w:hAnsi="Arial" w:cs="Arial"/>
                <w:color w:val="000000"/>
                <w:sz w:val="20"/>
                <w:szCs w:val="20"/>
                <w:lang w:eastAsia="es-CR"/>
              </w:rPr>
              <w:br/>
            </w:r>
            <w:hyperlink r:id="rId20" w:tgtFrame="_top" w:history="1">
              <w:r w:rsidRPr="00DE2DCC">
                <w:rPr>
                  <w:rFonts w:ascii="Verdana" w:eastAsia="Times New Roman" w:hAnsi="Verdana" w:cs="Arial"/>
                  <w:b/>
                  <w:bCs/>
                  <w:color w:val="31639C"/>
                  <w:sz w:val="16"/>
                  <w:lang w:eastAsia="es-CR"/>
                </w:rPr>
                <w:t>Ficha articulo</w:t>
              </w:r>
            </w:hyperlink>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r>
            <w:r w:rsidRPr="00DE2DCC">
              <w:rPr>
                <w:rFonts w:ascii="Arial" w:eastAsia="Times New Roman" w:hAnsi="Arial" w:cs="Arial"/>
                <w:color w:val="000000"/>
                <w:sz w:val="20"/>
                <w:szCs w:val="20"/>
                <w:lang w:eastAsia="es-CR"/>
              </w:rPr>
              <w:br/>
              <w:t xml:space="preserve">Fecha de generación: 23/01/2018 03:52:08 p.m. </w:t>
            </w:r>
            <w:bookmarkStart w:id="0" w:name="down"/>
            <w:bookmarkEnd w:id="0"/>
          </w:p>
        </w:tc>
      </w:tr>
      <w:tr w:rsidR="00DE2DCC" w:rsidRPr="00DE2DCC" w:rsidTr="00DE2DCC">
        <w:trPr>
          <w:tblCellSpacing w:w="15" w:type="dxa"/>
        </w:trPr>
        <w:tc>
          <w:tcPr>
            <w:tcW w:w="0" w:type="auto"/>
            <w:tcMar>
              <w:top w:w="0" w:type="dxa"/>
              <w:left w:w="0" w:type="dxa"/>
              <w:bottom w:w="0" w:type="dxa"/>
              <w:right w:w="0" w:type="dxa"/>
            </w:tcMar>
            <w:vAlign w:val="center"/>
            <w:hideMark/>
          </w:tcPr>
          <w:p w:rsidR="00DE2DCC" w:rsidRPr="00DE2DCC" w:rsidRDefault="00DE2DCC" w:rsidP="00DE2DCC">
            <w:pPr>
              <w:spacing w:before="0" w:after="0"/>
              <w:ind w:left="0"/>
              <w:jc w:val="center"/>
              <w:rPr>
                <w:rFonts w:ascii="Arial" w:eastAsia="Times New Roman" w:hAnsi="Arial" w:cs="Arial"/>
                <w:color w:val="000000"/>
                <w:sz w:val="20"/>
                <w:szCs w:val="20"/>
                <w:lang w:eastAsia="es-CR"/>
              </w:rPr>
            </w:pPr>
          </w:p>
        </w:tc>
      </w:tr>
    </w:tbl>
    <w:p w:rsidR="00AD23E2" w:rsidRDefault="00AD23E2"/>
    <w:sectPr w:rsidR="00AD23E2" w:rsidSect="00AD23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2DCC"/>
    <w:rsid w:val="00996AB4"/>
    <w:rsid w:val="00AD23E2"/>
    <w:rsid w:val="00DE2DC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before="240" w:after="24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2DCC"/>
    <w:rPr>
      <w:strike w:val="0"/>
      <w:dstrike w:val="0"/>
      <w:color w:val="0000FF"/>
      <w:u w:val="none"/>
      <w:effect w:val="none"/>
    </w:rPr>
  </w:style>
  <w:style w:type="paragraph" w:customStyle="1" w:styleId="pa4">
    <w:name w:val="pa4"/>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paragraph" w:customStyle="1" w:styleId="pa3">
    <w:name w:val="pa3"/>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paragraph" w:customStyle="1" w:styleId="pa5">
    <w:name w:val="pa5"/>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paragraph" w:customStyle="1" w:styleId="pa6">
    <w:name w:val="pa6"/>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paragraph" w:customStyle="1" w:styleId="pa7">
    <w:name w:val="pa7"/>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paragraph" w:customStyle="1" w:styleId="pa8">
    <w:name w:val="pa8"/>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paragraph" w:customStyle="1" w:styleId="pa9">
    <w:name w:val="pa9"/>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character" w:customStyle="1" w:styleId="a2">
    <w:name w:val="a2"/>
    <w:basedOn w:val="Fuentedeprrafopredeter"/>
    <w:rsid w:val="00DE2DCC"/>
  </w:style>
  <w:style w:type="paragraph" w:customStyle="1" w:styleId="pa10">
    <w:name w:val="pa10"/>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paragraph" w:customStyle="1" w:styleId="default">
    <w:name w:val="default"/>
    <w:basedOn w:val="Normal"/>
    <w:rsid w:val="00DE2DCC"/>
    <w:pPr>
      <w:spacing w:before="100" w:beforeAutospacing="1" w:after="100" w:afterAutospacing="1"/>
      <w:ind w:left="0"/>
    </w:pPr>
    <w:rPr>
      <w:rFonts w:ascii="Times New Roman" w:eastAsia="Times New Roman" w:hAnsi="Times New Roman" w:cs="Times New Roman"/>
      <w:sz w:val="24"/>
      <w:szCs w:val="24"/>
      <w:lang w:eastAsia="es-CR"/>
    </w:rPr>
  </w:style>
  <w:style w:type="character" w:customStyle="1" w:styleId="a3">
    <w:name w:val="a3"/>
    <w:basedOn w:val="Fuentedeprrafopredeter"/>
    <w:rsid w:val="00DE2DCC"/>
  </w:style>
</w:styles>
</file>

<file path=word/webSettings.xml><?xml version="1.0" encoding="utf-8"?>
<w:webSettings xmlns:r="http://schemas.openxmlformats.org/officeDocument/2006/relationships" xmlns:w="http://schemas.openxmlformats.org/wordprocessingml/2006/main">
  <w:divs>
    <w:div w:id="995885881">
      <w:bodyDiv w:val="1"/>
      <w:marLeft w:val="0"/>
      <w:marRight w:val="0"/>
      <w:marTop w:val="0"/>
      <w:marBottom w:val="0"/>
      <w:divBdr>
        <w:top w:val="none" w:sz="0" w:space="0" w:color="auto"/>
        <w:left w:val="none" w:sz="0" w:space="0" w:color="auto"/>
        <w:bottom w:val="none" w:sz="0" w:space="0" w:color="auto"/>
        <w:right w:val="none" w:sz="0" w:space="0" w:color="auto"/>
      </w:divBdr>
      <w:divsChild>
        <w:div w:id="1640379864">
          <w:marLeft w:val="0"/>
          <w:marRight w:val="0"/>
          <w:marTop w:val="0"/>
          <w:marBottom w:val="0"/>
          <w:divBdr>
            <w:top w:val="none" w:sz="0" w:space="0" w:color="auto"/>
            <w:left w:val="none" w:sz="0" w:space="0" w:color="auto"/>
            <w:bottom w:val="none" w:sz="0" w:space="0" w:color="auto"/>
            <w:right w:val="none" w:sz="0" w:space="0" w:color="auto"/>
          </w:divBdr>
          <w:divsChild>
            <w:div w:id="933708370">
              <w:marLeft w:val="0"/>
              <w:marRight w:val="0"/>
              <w:marTop w:val="0"/>
              <w:marBottom w:val="0"/>
              <w:divBdr>
                <w:top w:val="none" w:sz="0" w:space="0" w:color="auto"/>
                <w:left w:val="none" w:sz="0" w:space="0" w:color="auto"/>
                <w:bottom w:val="none" w:sz="0" w:space="0" w:color="auto"/>
                <w:right w:val="none" w:sz="0" w:space="0" w:color="auto"/>
              </w:divBdr>
              <w:divsChild>
                <w:div w:id="1100025675">
                  <w:marLeft w:val="0"/>
                  <w:marRight w:val="0"/>
                  <w:marTop w:val="0"/>
                  <w:marBottom w:val="0"/>
                  <w:divBdr>
                    <w:top w:val="none" w:sz="0" w:space="0" w:color="auto"/>
                    <w:left w:val="none" w:sz="0" w:space="0" w:color="auto"/>
                    <w:bottom w:val="none" w:sz="0" w:space="0" w:color="auto"/>
                    <w:right w:val="none" w:sz="0" w:space="0" w:color="auto"/>
                  </w:divBdr>
                  <w:divsChild>
                    <w:div w:id="1076320948">
                      <w:marLeft w:val="0"/>
                      <w:marRight w:val="0"/>
                      <w:marTop w:val="0"/>
                      <w:marBottom w:val="0"/>
                      <w:divBdr>
                        <w:top w:val="none" w:sz="0" w:space="0" w:color="auto"/>
                        <w:left w:val="none" w:sz="0" w:space="0" w:color="auto"/>
                        <w:bottom w:val="none" w:sz="0" w:space="0" w:color="auto"/>
                        <w:right w:val="none" w:sz="0" w:space="0" w:color="auto"/>
                      </w:divBdr>
                    </w:div>
                    <w:div w:id="856623877">
                      <w:marLeft w:val="0"/>
                      <w:marRight w:val="0"/>
                      <w:marTop w:val="0"/>
                      <w:marBottom w:val="0"/>
                      <w:divBdr>
                        <w:top w:val="none" w:sz="0" w:space="0" w:color="auto"/>
                        <w:left w:val="none" w:sz="0" w:space="0" w:color="auto"/>
                        <w:bottom w:val="none" w:sz="0" w:space="0" w:color="auto"/>
                        <w:right w:val="none" w:sz="0" w:space="0" w:color="auto"/>
                      </w:divBdr>
                    </w:div>
                    <w:div w:id="1299409822">
                      <w:marLeft w:val="0"/>
                      <w:marRight w:val="0"/>
                      <w:marTop w:val="0"/>
                      <w:marBottom w:val="0"/>
                      <w:divBdr>
                        <w:top w:val="none" w:sz="0" w:space="0" w:color="auto"/>
                        <w:left w:val="none" w:sz="0" w:space="0" w:color="auto"/>
                        <w:bottom w:val="none" w:sz="0" w:space="0" w:color="auto"/>
                        <w:right w:val="none" w:sz="0" w:space="0" w:color="auto"/>
                      </w:divBdr>
                    </w:div>
                    <w:div w:id="1344623461">
                      <w:marLeft w:val="0"/>
                      <w:marRight w:val="0"/>
                      <w:marTop w:val="0"/>
                      <w:marBottom w:val="0"/>
                      <w:divBdr>
                        <w:top w:val="none" w:sz="0" w:space="0" w:color="auto"/>
                        <w:left w:val="none" w:sz="0" w:space="0" w:color="auto"/>
                        <w:bottom w:val="none" w:sz="0" w:space="0" w:color="auto"/>
                        <w:right w:val="none" w:sz="0" w:space="0" w:color="auto"/>
                      </w:divBdr>
                    </w:div>
                    <w:div w:id="865405162">
                      <w:marLeft w:val="0"/>
                      <w:marRight w:val="0"/>
                      <w:marTop w:val="0"/>
                      <w:marBottom w:val="0"/>
                      <w:divBdr>
                        <w:top w:val="none" w:sz="0" w:space="0" w:color="auto"/>
                        <w:left w:val="none" w:sz="0" w:space="0" w:color="auto"/>
                        <w:bottom w:val="none" w:sz="0" w:space="0" w:color="auto"/>
                        <w:right w:val="none" w:sz="0" w:space="0" w:color="auto"/>
                      </w:divBdr>
                    </w:div>
                    <w:div w:id="273710966">
                      <w:marLeft w:val="0"/>
                      <w:marRight w:val="0"/>
                      <w:marTop w:val="0"/>
                      <w:marBottom w:val="0"/>
                      <w:divBdr>
                        <w:top w:val="none" w:sz="0" w:space="0" w:color="auto"/>
                        <w:left w:val="none" w:sz="0" w:space="0" w:color="auto"/>
                        <w:bottom w:val="none" w:sz="0" w:space="0" w:color="auto"/>
                        <w:right w:val="none" w:sz="0" w:space="0" w:color="auto"/>
                      </w:divBdr>
                    </w:div>
                    <w:div w:id="2041316354">
                      <w:marLeft w:val="0"/>
                      <w:marRight w:val="0"/>
                      <w:marTop w:val="0"/>
                      <w:marBottom w:val="0"/>
                      <w:divBdr>
                        <w:top w:val="none" w:sz="0" w:space="0" w:color="auto"/>
                        <w:left w:val="none" w:sz="0" w:space="0" w:color="auto"/>
                        <w:bottom w:val="none" w:sz="0" w:space="0" w:color="auto"/>
                        <w:right w:val="none" w:sz="0" w:space="0" w:color="auto"/>
                      </w:divBdr>
                    </w:div>
                    <w:div w:id="1716078853">
                      <w:marLeft w:val="0"/>
                      <w:marRight w:val="0"/>
                      <w:marTop w:val="0"/>
                      <w:marBottom w:val="0"/>
                      <w:divBdr>
                        <w:top w:val="none" w:sz="0" w:space="0" w:color="auto"/>
                        <w:left w:val="none" w:sz="0" w:space="0" w:color="auto"/>
                        <w:bottom w:val="none" w:sz="0" w:space="0" w:color="auto"/>
                        <w:right w:val="none" w:sz="0" w:space="0" w:color="auto"/>
                      </w:divBdr>
                    </w:div>
                    <w:div w:id="205148274">
                      <w:marLeft w:val="0"/>
                      <w:marRight w:val="0"/>
                      <w:marTop w:val="0"/>
                      <w:marBottom w:val="0"/>
                      <w:divBdr>
                        <w:top w:val="none" w:sz="0" w:space="0" w:color="auto"/>
                        <w:left w:val="none" w:sz="0" w:space="0" w:color="auto"/>
                        <w:bottom w:val="none" w:sz="0" w:space="0" w:color="auto"/>
                        <w:right w:val="none" w:sz="0" w:space="0" w:color="auto"/>
                      </w:divBdr>
                    </w:div>
                    <w:div w:id="1707173168">
                      <w:marLeft w:val="0"/>
                      <w:marRight w:val="0"/>
                      <w:marTop w:val="0"/>
                      <w:marBottom w:val="0"/>
                      <w:divBdr>
                        <w:top w:val="none" w:sz="0" w:space="0" w:color="auto"/>
                        <w:left w:val="none" w:sz="0" w:space="0" w:color="auto"/>
                        <w:bottom w:val="none" w:sz="0" w:space="0" w:color="auto"/>
                        <w:right w:val="none" w:sz="0" w:space="0" w:color="auto"/>
                      </w:divBdr>
                    </w:div>
                    <w:div w:id="297536199">
                      <w:marLeft w:val="0"/>
                      <w:marRight w:val="0"/>
                      <w:marTop w:val="0"/>
                      <w:marBottom w:val="0"/>
                      <w:divBdr>
                        <w:top w:val="none" w:sz="0" w:space="0" w:color="auto"/>
                        <w:left w:val="none" w:sz="0" w:space="0" w:color="auto"/>
                        <w:bottom w:val="none" w:sz="0" w:space="0" w:color="auto"/>
                        <w:right w:val="none" w:sz="0" w:space="0" w:color="auto"/>
                      </w:divBdr>
                    </w:div>
                    <w:div w:id="895969111">
                      <w:marLeft w:val="0"/>
                      <w:marRight w:val="0"/>
                      <w:marTop w:val="0"/>
                      <w:marBottom w:val="0"/>
                      <w:divBdr>
                        <w:top w:val="none" w:sz="0" w:space="0" w:color="auto"/>
                        <w:left w:val="none" w:sz="0" w:space="0" w:color="auto"/>
                        <w:bottom w:val="none" w:sz="0" w:space="0" w:color="auto"/>
                        <w:right w:val="none" w:sz="0" w:space="0" w:color="auto"/>
                      </w:divBdr>
                    </w:div>
                    <w:div w:id="312879351">
                      <w:marLeft w:val="0"/>
                      <w:marRight w:val="0"/>
                      <w:marTop w:val="0"/>
                      <w:marBottom w:val="0"/>
                      <w:divBdr>
                        <w:top w:val="none" w:sz="0" w:space="0" w:color="auto"/>
                        <w:left w:val="none" w:sz="0" w:space="0" w:color="auto"/>
                        <w:bottom w:val="none" w:sz="0" w:space="0" w:color="auto"/>
                        <w:right w:val="none" w:sz="0" w:space="0" w:color="auto"/>
                      </w:divBdr>
                    </w:div>
                    <w:div w:id="976301291">
                      <w:marLeft w:val="0"/>
                      <w:marRight w:val="0"/>
                      <w:marTop w:val="0"/>
                      <w:marBottom w:val="0"/>
                      <w:divBdr>
                        <w:top w:val="none" w:sz="0" w:space="0" w:color="auto"/>
                        <w:left w:val="none" w:sz="0" w:space="0" w:color="auto"/>
                        <w:bottom w:val="none" w:sz="0" w:space="0" w:color="auto"/>
                        <w:right w:val="none" w:sz="0" w:space="0" w:color="auto"/>
                      </w:divBdr>
                    </w:div>
                    <w:div w:id="1047297750">
                      <w:marLeft w:val="0"/>
                      <w:marRight w:val="0"/>
                      <w:marTop w:val="0"/>
                      <w:marBottom w:val="0"/>
                      <w:divBdr>
                        <w:top w:val="none" w:sz="0" w:space="0" w:color="auto"/>
                        <w:left w:val="none" w:sz="0" w:space="0" w:color="auto"/>
                        <w:bottom w:val="none" w:sz="0" w:space="0" w:color="auto"/>
                        <w:right w:val="none" w:sz="0" w:space="0" w:color="auto"/>
                      </w:divBdr>
                    </w:div>
                    <w:div w:id="1151407488">
                      <w:marLeft w:val="0"/>
                      <w:marRight w:val="0"/>
                      <w:marTop w:val="0"/>
                      <w:marBottom w:val="0"/>
                      <w:divBdr>
                        <w:top w:val="none" w:sz="0" w:space="0" w:color="auto"/>
                        <w:left w:val="none" w:sz="0" w:space="0" w:color="auto"/>
                        <w:bottom w:val="none" w:sz="0" w:space="0" w:color="auto"/>
                        <w:right w:val="none" w:sz="0" w:space="0" w:color="auto"/>
                      </w:divBdr>
                    </w:div>
                    <w:div w:id="264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78594&amp;nValor3=99098&amp;nValor5=6" TargetMode="External"/><Relationship Id="rId13" Type="http://schemas.openxmlformats.org/officeDocument/2006/relationships/hyperlink" Target="http://www.pgrweb.go.cr/scij/Busqueda/Normativa/normas/nrm_articulo.aspx?param1=NRA&amp;nValor1=1&amp;nValor2=78594&amp;nValor3=99098&amp;nValor5=11" TargetMode="External"/><Relationship Id="rId18" Type="http://schemas.openxmlformats.org/officeDocument/2006/relationships/hyperlink" Target="http://www.pgrweb.go.cr/scij/Busqueda/Normativa/normas/nrm_articulo.aspx?param1=NRA&amp;nValor1=1&amp;nValor2=78594&amp;nValor3=99098&amp;nValor5=1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grweb.go.cr/scij/Busqueda/Normativa/normas/nrm_articulo.aspx?param1=NRA&amp;nValor1=1&amp;nValor2=78594&amp;nValor3=99098&amp;nValor5=5" TargetMode="External"/><Relationship Id="rId12" Type="http://schemas.openxmlformats.org/officeDocument/2006/relationships/hyperlink" Target="http://www.pgrweb.go.cr/scij/Busqueda/Normativa/normas/nrm_articulo.aspx?param1=NRA&amp;nValor1=1&amp;nValor2=78594&amp;nValor3=99098&amp;nValor5=10" TargetMode="External"/><Relationship Id="rId17" Type="http://schemas.openxmlformats.org/officeDocument/2006/relationships/hyperlink" Target="http://www.pgrweb.go.cr/scij/Busqueda/Normativa/normas/nrm_articulo.aspx?param1=NRA&amp;nValor1=1&amp;nValor2=78594&amp;nValor3=99098&amp;nValor5=15" TargetMode="External"/><Relationship Id="rId2" Type="http://schemas.openxmlformats.org/officeDocument/2006/relationships/settings" Target="settings.xml"/><Relationship Id="rId16" Type="http://schemas.openxmlformats.org/officeDocument/2006/relationships/hyperlink" Target="http://www.pgrweb.go.cr/scij/Busqueda/Normativa/normas/nrm_articulo.aspx?param1=NRA&amp;nValor1=1&amp;nValor2=78594&amp;nValor3=99098&amp;nValor5=14" TargetMode="External"/><Relationship Id="rId20" Type="http://schemas.openxmlformats.org/officeDocument/2006/relationships/hyperlink" Target="http://www.pgrweb.go.cr/scij/Busqueda/Normativa/normas/nrm_articulo.aspx?param1=NRA&amp;nValor1=1&amp;nValor2=78594&amp;nValor3=99098&amp;nValor5=18"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78594&amp;nValor3=99098&amp;nValor5=4" TargetMode="External"/><Relationship Id="rId11" Type="http://schemas.openxmlformats.org/officeDocument/2006/relationships/hyperlink" Target="http://www.pgrweb.go.cr/scij/Busqueda/Normativa/normas/nrm_articulo.aspx?param1=NRA&amp;nValor1=1&amp;nValor2=78594&amp;nValor3=99098&amp;nValor5=9" TargetMode="External"/><Relationship Id="rId5" Type="http://schemas.openxmlformats.org/officeDocument/2006/relationships/hyperlink" Target="http://www.pgrweb.go.cr/scij/Busqueda/Normativa/normas/nrm_articulo.aspx?param1=NRA&amp;nValor1=1&amp;nValor2=78594&amp;nValor3=99098&amp;nValor5=3" TargetMode="External"/><Relationship Id="rId15" Type="http://schemas.openxmlformats.org/officeDocument/2006/relationships/hyperlink" Target="http://www.pgrweb.go.cr/scij/Busqueda/Normativa/normas/nrm_articulo.aspx?param1=NRA&amp;nValor1=1&amp;nValor2=78594&amp;nValor3=99098&amp;nValor5=13" TargetMode="External"/><Relationship Id="rId10" Type="http://schemas.openxmlformats.org/officeDocument/2006/relationships/hyperlink" Target="http://www.pgrweb.go.cr/scij/Busqueda/Normativa/normas/nrm_articulo.aspx?param1=NRA&amp;nValor1=1&amp;nValor2=78594&amp;nValor3=99098&amp;nValor5=8" TargetMode="External"/><Relationship Id="rId19" Type="http://schemas.openxmlformats.org/officeDocument/2006/relationships/hyperlink" Target="http://www.pgrweb.go.cr/scij/Busqueda/Normativa/normas/nrm_articulo.aspx?param1=NRA&amp;nValor1=1&amp;nValor2=78594&amp;nValor3=99098&amp;nValor5=17" TargetMode="External"/><Relationship Id="rId4" Type="http://schemas.openxmlformats.org/officeDocument/2006/relationships/hyperlink" Target="http://www.pgrweb.go.cr/scij/Busqueda/Normativa/normas/nrm_articulo.aspx?param1=NRA&amp;nValor1=1&amp;nValor2=78594&amp;nValor3=99098&amp;nValor5=2" TargetMode="External"/><Relationship Id="rId9" Type="http://schemas.openxmlformats.org/officeDocument/2006/relationships/hyperlink" Target="http://www.pgrweb.go.cr/scij/Busqueda/Normativa/normas/nrm_articulo.aspx?param1=NRA&amp;nValor1=1&amp;nValor2=78594&amp;nValor3=99098&amp;nValor5=7" TargetMode="External"/><Relationship Id="rId14" Type="http://schemas.openxmlformats.org/officeDocument/2006/relationships/hyperlink" Target="http://www.pgrweb.go.cr/scij/Busqueda/Normativa/normas/nrm_articulo.aspx?param1=NRA&amp;nValor1=1&amp;nValor2=78594&amp;nValor3=99098&amp;nValor5=12"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3892</Words>
  <Characters>21412</Characters>
  <Application>Microsoft Office Word</Application>
  <DocSecurity>0</DocSecurity>
  <Lines>178</Lines>
  <Paragraphs>50</Paragraphs>
  <ScaleCrop>false</ScaleCrop>
  <Company/>
  <LinksUpToDate>false</LinksUpToDate>
  <CharactersWithSpaces>25254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jalemanv</dc:creator>
  <cp:lastModifiedBy>jalemanv</cp:lastModifiedBy>
  <cp:revision>1</cp:revision>
  <dcterms:created xsi:type="dcterms:W3CDTF">2018-01-23T21:54:00Z</dcterms:created>
  <dcterms:modified xsi:type="dcterms:W3CDTF">2018-01-23T21:54:00Z</dcterms:modified>
</cp:coreProperties>
</file>